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45" w:rsidRPr="00D16445" w:rsidRDefault="00D16445" w:rsidP="00D16445">
      <w:pPr>
        <w:rPr>
          <w:b/>
          <w:bCs/>
        </w:rPr>
      </w:pPr>
      <w:proofErr w:type="spellStart"/>
      <w:r w:rsidRPr="00D16445">
        <w:rPr>
          <w:b/>
          <w:bCs/>
        </w:rPr>
        <w:t>Elsiglutide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in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the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primary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prevention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of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chemotherapy</w:t>
      </w:r>
      <w:proofErr w:type="spellEnd"/>
      <w:r w:rsidRPr="00D16445">
        <w:rPr>
          <w:b/>
          <w:bCs/>
        </w:rPr>
        <w:t xml:space="preserve"> (CT)-</w:t>
      </w:r>
      <w:proofErr w:type="spellStart"/>
      <w:r w:rsidRPr="00D16445">
        <w:rPr>
          <w:b/>
          <w:bCs/>
        </w:rPr>
        <w:t>induced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diarrhea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in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patients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with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colorectal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cancer</w:t>
      </w:r>
      <w:proofErr w:type="spellEnd"/>
      <w:r w:rsidRPr="00D16445">
        <w:rPr>
          <w:b/>
          <w:bCs/>
        </w:rPr>
        <w:t xml:space="preserve"> (CRC) </w:t>
      </w:r>
      <w:proofErr w:type="spellStart"/>
      <w:r w:rsidRPr="00D16445">
        <w:rPr>
          <w:b/>
          <w:bCs/>
        </w:rPr>
        <w:t>receiving</w:t>
      </w:r>
      <w:proofErr w:type="spellEnd"/>
      <w:r w:rsidRPr="00D16445">
        <w:rPr>
          <w:b/>
          <w:bCs/>
        </w:rPr>
        <w:t xml:space="preserve"> 5-fluorouracil (5-FU)-</w:t>
      </w:r>
      <w:proofErr w:type="spellStart"/>
      <w:r w:rsidRPr="00D16445">
        <w:rPr>
          <w:b/>
          <w:bCs/>
        </w:rPr>
        <w:t>based</w:t>
      </w:r>
      <w:proofErr w:type="spellEnd"/>
      <w:r w:rsidRPr="00D16445">
        <w:rPr>
          <w:b/>
          <w:bCs/>
        </w:rPr>
        <w:t xml:space="preserve"> CT: A </w:t>
      </w:r>
      <w:proofErr w:type="spellStart"/>
      <w:r w:rsidRPr="00D16445">
        <w:rPr>
          <w:b/>
          <w:bCs/>
        </w:rPr>
        <w:t>multinational</w:t>
      </w:r>
      <w:proofErr w:type="spellEnd"/>
      <w:r w:rsidRPr="00D16445">
        <w:rPr>
          <w:b/>
          <w:bCs/>
        </w:rPr>
        <w:t xml:space="preserve">, </w:t>
      </w:r>
      <w:proofErr w:type="spellStart"/>
      <w:r w:rsidRPr="00D16445">
        <w:rPr>
          <w:b/>
          <w:bCs/>
        </w:rPr>
        <w:t>randomized</w:t>
      </w:r>
      <w:proofErr w:type="spellEnd"/>
      <w:r w:rsidRPr="00D16445">
        <w:rPr>
          <w:b/>
          <w:bCs/>
        </w:rPr>
        <w:t xml:space="preserve">, </w:t>
      </w:r>
      <w:proofErr w:type="spellStart"/>
      <w:r w:rsidRPr="00D16445">
        <w:rPr>
          <w:b/>
          <w:bCs/>
        </w:rPr>
        <w:t>double-blind</w:t>
      </w:r>
      <w:proofErr w:type="spellEnd"/>
      <w:r w:rsidRPr="00D16445">
        <w:rPr>
          <w:b/>
          <w:bCs/>
        </w:rPr>
        <w:t xml:space="preserve">, </w:t>
      </w:r>
      <w:proofErr w:type="spellStart"/>
      <w:r w:rsidRPr="00D16445">
        <w:rPr>
          <w:b/>
          <w:bCs/>
        </w:rPr>
        <w:t>placebo-controlled</w:t>
      </w:r>
      <w:proofErr w:type="spellEnd"/>
      <w:r w:rsidRPr="00D16445">
        <w:rPr>
          <w:b/>
          <w:bCs/>
        </w:rPr>
        <w:t xml:space="preserve"> </w:t>
      </w:r>
      <w:proofErr w:type="spellStart"/>
      <w:r w:rsidRPr="00D16445">
        <w:rPr>
          <w:b/>
          <w:bCs/>
        </w:rPr>
        <w:t>study</w:t>
      </w:r>
      <w:proofErr w:type="spellEnd"/>
      <w:r w:rsidRPr="00D16445">
        <w:rPr>
          <w:b/>
          <w:bCs/>
        </w:rPr>
        <w:t>.</w:t>
      </w:r>
    </w:p>
    <w:p w:rsidR="00D16445" w:rsidRPr="00D16445" w:rsidRDefault="00D16445" w:rsidP="00D16445">
      <w:hyperlink r:id="rId6" w:history="1">
        <w:proofErr w:type="spellStart"/>
        <w:r w:rsidRPr="00D16445">
          <w:rPr>
            <w:rStyle w:val="a3"/>
            <w:b/>
            <w:bCs/>
          </w:rPr>
          <w:t>Meinolf</w:t>
        </w:r>
        <w:proofErr w:type="spellEnd"/>
        <w:r w:rsidRPr="00D16445">
          <w:rPr>
            <w:rStyle w:val="a3"/>
            <w:b/>
            <w:bCs/>
          </w:rPr>
          <w:t xml:space="preserve"> </w:t>
        </w:r>
        <w:proofErr w:type="spellStart"/>
        <w:r w:rsidRPr="00D16445">
          <w:rPr>
            <w:rStyle w:val="a3"/>
            <w:b/>
            <w:bCs/>
          </w:rPr>
          <w:t>Karthaus</w:t>
        </w:r>
        <w:proofErr w:type="spellEnd"/>
      </w:hyperlink>
      <w:hyperlink r:id="rId7" w:history="1">
        <w:r w:rsidRPr="00D16445">
          <w:rPr>
            <w:rStyle w:val="a3"/>
            <w:b/>
            <w:bCs/>
            <w:vertAlign w:val="superscript"/>
          </w:rPr>
          <w:t>†</w:t>
        </w:r>
      </w:hyperlink>
      <w:r w:rsidRPr="00D16445">
        <w:t>, </w:t>
      </w:r>
      <w:proofErr w:type="spellStart"/>
      <w:r w:rsidRPr="00D16445">
        <w:fldChar w:fldCharType="begin"/>
      </w:r>
      <w:r w:rsidRPr="00D16445">
        <w:instrText xml:space="preserve"> HYPERLINK "http://ascopubs.org/author/Fedyanin%2C+Mikhail" </w:instrText>
      </w:r>
      <w:r w:rsidRPr="00D16445">
        <w:fldChar w:fldCharType="separate"/>
      </w:r>
      <w:r w:rsidRPr="00D16445">
        <w:rPr>
          <w:rStyle w:val="a3"/>
          <w:b/>
          <w:bCs/>
        </w:rPr>
        <w:t>Mikhail</w:t>
      </w:r>
      <w:proofErr w:type="spellEnd"/>
      <w:r w:rsidRPr="00D16445">
        <w:rPr>
          <w:rStyle w:val="a3"/>
          <w:b/>
          <w:bCs/>
        </w:rPr>
        <w:t xml:space="preserve"> </w:t>
      </w:r>
      <w:proofErr w:type="spellStart"/>
      <w:r w:rsidRPr="00D16445">
        <w:rPr>
          <w:rStyle w:val="a3"/>
          <w:b/>
          <w:bCs/>
        </w:rPr>
        <w:t>Fedyanin</w:t>
      </w:r>
      <w:proofErr w:type="spellEnd"/>
      <w:r w:rsidRPr="00D16445">
        <w:fldChar w:fldCharType="end"/>
      </w:r>
      <w:hyperlink r:id="rId8" w:history="1">
        <w:r w:rsidRPr="00D16445">
          <w:rPr>
            <w:rStyle w:val="a3"/>
            <w:b/>
            <w:bCs/>
            <w:vertAlign w:val="superscript"/>
          </w:rPr>
          <w:t>†</w:t>
        </w:r>
      </w:hyperlink>
      <w:r w:rsidRPr="00D16445">
        <w:t>, </w:t>
      </w:r>
      <w:proofErr w:type="spellStart"/>
      <w:r w:rsidRPr="00D16445">
        <w:fldChar w:fldCharType="begin"/>
      </w:r>
      <w:r w:rsidRPr="00D16445">
        <w:instrText xml:space="preserve"> HYPERLINK "http://ascopubs.org/author/Bondarenko%2C+Igor" </w:instrText>
      </w:r>
      <w:r w:rsidRPr="00D16445">
        <w:fldChar w:fldCharType="separate"/>
      </w:r>
      <w:r w:rsidRPr="00D16445">
        <w:rPr>
          <w:rStyle w:val="a3"/>
          <w:b/>
          <w:bCs/>
        </w:rPr>
        <w:t>Igor</w:t>
      </w:r>
      <w:proofErr w:type="spellEnd"/>
      <w:r w:rsidRPr="00D16445">
        <w:rPr>
          <w:rStyle w:val="a3"/>
          <w:b/>
          <w:bCs/>
        </w:rPr>
        <w:t xml:space="preserve"> </w:t>
      </w:r>
      <w:proofErr w:type="spellStart"/>
      <w:r w:rsidRPr="00D16445">
        <w:rPr>
          <w:rStyle w:val="a3"/>
          <w:b/>
          <w:bCs/>
        </w:rPr>
        <w:t>Bondarenko</w:t>
      </w:r>
      <w:proofErr w:type="spellEnd"/>
      <w:r w:rsidRPr="00D16445">
        <w:fldChar w:fldCharType="end"/>
      </w:r>
      <w:hyperlink r:id="rId9" w:history="1">
        <w:r w:rsidRPr="00D16445">
          <w:rPr>
            <w:rStyle w:val="a3"/>
            <w:b/>
            <w:bCs/>
            <w:vertAlign w:val="superscript"/>
          </w:rPr>
          <w:t>†</w:t>
        </w:r>
      </w:hyperlink>
      <w:r w:rsidRPr="00D16445">
        <w:t>, </w:t>
      </w:r>
      <w:proofErr w:type="spellStart"/>
      <w:r w:rsidRPr="00D16445">
        <w:fldChar w:fldCharType="begin"/>
      </w:r>
      <w:r w:rsidRPr="00D16445">
        <w:instrText xml:space="preserve"> HYPERLINK "http://ascopubs.org/author/Chessari%2C+Salvatore" </w:instrText>
      </w:r>
      <w:r w:rsidRPr="00D16445">
        <w:fldChar w:fldCharType="separate"/>
      </w:r>
      <w:r w:rsidRPr="00D16445">
        <w:rPr>
          <w:rStyle w:val="a3"/>
          <w:b/>
          <w:bCs/>
        </w:rPr>
        <w:t>Salvatore</w:t>
      </w:r>
      <w:proofErr w:type="spellEnd"/>
      <w:r w:rsidRPr="00D16445">
        <w:rPr>
          <w:rStyle w:val="a3"/>
          <w:b/>
          <w:bCs/>
        </w:rPr>
        <w:t xml:space="preserve"> </w:t>
      </w:r>
      <w:proofErr w:type="spellStart"/>
      <w:r w:rsidRPr="00D16445">
        <w:rPr>
          <w:rStyle w:val="a3"/>
          <w:b/>
          <w:bCs/>
        </w:rPr>
        <w:t>Chessari</w:t>
      </w:r>
      <w:proofErr w:type="spellEnd"/>
      <w:r w:rsidRPr="00D16445">
        <w:fldChar w:fldCharType="end"/>
      </w:r>
      <w:hyperlink r:id="rId10" w:history="1">
        <w:r w:rsidRPr="00D16445">
          <w:rPr>
            <w:rStyle w:val="a3"/>
            <w:b/>
            <w:bCs/>
            <w:vertAlign w:val="superscript"/>
          </w:rPr>
          <w:t>†</w:t>
        </w:r>
      </w:hyperlink>
      <w:r w:rsidRPr="00D16445">
        <w:t>, </w:t>
      </w:r>
      <w:proofErr w:type="spellStart"/>
      <w:r w:rsidRPr="00D16445">
        <w:fldChar w:fldCharType="begin"/>
      </w:r>
      <w:r w:rsidRPr="00D16445">
        <w:instrText xml:space="preserve"> HYPERLINK "http://ascopubs.org/author/Spezia%2C+Riccardo" </w:instrText>
      </w:r>
      <w:r w:rsidRPr="00D16445">
        <w:fldChar w:fldCharType="separate"/>
      </w:r>
      <w:r w:rsidRPr="00D16445">
        <w:rPr>
          <w:rStyle w:val="a3"/>
          <w:b/>
          <w:bCs/>
        </w:rPr>
        <w:t>Riccardo</w:t>
      </w:r>
      <w:proofErr w:type="spellEnd"/>
      <w:r w:rsidRPr="00D16445">
        <w:rPr>
          <w:rStyle w:val="a3"/>
          <w:b/>
          <w:bCs/>
        </w:rPr>
        <w:t xml:space="preserve"> </w:t>
      </w:r>
      <w:proofErr w:type="spellStart"/>
      <w:r w:rsidRPr="00D16445">
        <w:rPr>
          <w:rStyle w:val="a3"/>
          <w:b/>
          <w:bCs/>
        </w:rPr>
        <w:t>Spezia</w:t>
      </w:r>
      <w:proofErr w:type="spellEnd"/>
      <w:r w:rsidRPr="00D16445">
        <w:fldChar w:fldCharType="end"/>
      </w:r>
      <w:hyperlink r:id="rId11" w:history="1">
        <w:r w:rsidRPr="00D16445">
          <w:rPr>
            <w:rStyle w:val="a3"/>
            <w:b/>
            <w:bCs/>
            <w:vertAlign w:val="superscript"/>
          </w:rPr>
          <w:t>†</w:t>
        </w:r>
      </w:hyperlink>
      <w:r w:rsidRPr="00D16445">
        <w:t>,</w:t>
      </w:r>
      <w:hyperlink r:id="rId12" w:history="1">
        <w:r w:rsidRPr="00D16445">
          <w:rPr>
            <w:rStyle w:val="a3"/>
            <w:b/>
            <w:bCs/>
          </w:rPr>
          <w:t> </w:t>
        </w:r>
        <w:proofErr w:type="spellStart"/>
        <w:r w:rsidRPr="00D16445">
          <w:rPr>
            <w:rStyle w:val="a3"/>
            <w:b/>
            <w:bCs/>
          </w:rPr>
          <w:t>Ruben</w:t>
        </w:r>
        <w:proofErr w:type="spellEnd"/>
        <w:r w:rsidRPr="00D16445">
          <w:rPr>
            <w:rStyle w:val="a3"/>
            <w:b/>
            <w:bCs/>
          </w:rPr>
          <w:t xml:space="preserve"> </w:t>
        </w:r>
        <w:proofErr w:type="spellStart"/>
        <w:r w:rsidRPr="00D16445">
          <w:rPr>
            <w:rStyle w:val="a3"/>
            <w:b/>
            <w:bCs/>
          </w:rPr>
          <w:t>Giorgino</w:t>
        </w:r>
        <w:proofErr w:type="spellEnd"/>
      </w:hyperlink>
      <w:hyperlink r:id="rId13" w:history="1">
        <w:r w:rsidRPr="00D16445">
          <w:rPr>
            <w:rStyle w:val="a3"/>
            <w:b/>
            <w:bCs/>
            <w:vertAlign w:val="superscript"/>
          </w:rPr>
          <w:t>†</w:t>
        </w:r>
      </w:hyperlink>
    </w:p>
    <w:p w:rsidR="00D16445" w:rsidRPr="00D16445" w:rsidRDefault="00D16445" w:rsidP="00D16445">
      <w:pPr>
        <w:numPr>
          <w:ilvl w:val="0"/>
          <w:numId w:val="1"/>
        </w:numPr>
      </w:pPr>
      <w:hyperlink r:id="rId14" w:history="1">
        <w:proofErr w:type="spellStart"/>
        <w:r w:rsidRPr="00D16445">
          <w:rPr>
            <w:rStyle w:val="a3"/>
            <w:b/>
            <w:bCs/>
          </w:rPr>
          <w:t>Abstract</w:t>
        </w:r>
        <w:proofErr w:type="spellEnd"/>
      </w:hyperlink>
      <w:bookmarkStart w:id="0" w:name="abstract"/>
      <w:bookmarkEnd w:id="0"/>
      <w:r>
        <w:t xml:space="preserve"> </w:t>
      </w:r>
      <w:bookmarkStart w:id="1" w:name="_GoBack"/>
      <w:bookmarkEnd w:id="1"/>
      <w:r w:rsidRPr="00D16445">
        <w:rPr>
          <w:b/>
          <w:bCs/>
        </w:rPr>
        <w:t>10101</w:t>
      </w:r>
    </w:p>
    <w:p w:rsidR="00D16445" w:rsidRPr="00D16445" w:rsidRDefault="00D16445" w:rsidP="00D16445">
      <w:pPr>
        <w:jc w:val="both"/>
      </w:pPr>
      <w:proofErr w:type="spellStart"/>
      <w:r w:rsidRPr="00D16445">
        <w:rPr>
          <w:b/>
          <w:bCs/>
        </w:rPr>
        <w:t>Background</w:t>
      </w:r>
      <w:proofErr w:type="spellEnd"/>
      <w:r w:rsidRPr="00D16445">
        <w:rPr>
          <w:b/>
          <w:bCs/>
        </w:rPr>
        <w:t>:</w:t>
      </w:r>
      <w:r w:rsidRPr="00D16445">
        <w:t> </w:t>
      </w:r>
      <w:proofErr w:type="spellStart"/>
      <w:r w:rsidRPr="00D16445">
        <w:t>Diarrhea</w:t>
      </w:r>
      <w:proofErr w:type="spellEnd"/>
      <w:r w:rsidRPr="00D16445">
        <w:t xml:space="preserve"> </w:t>
      </w:r>
      <w:proofErr w:type="spellStart"/>
      <w:r w:rsidRPr="00D16445">
        <w:t>is</w:t>
      </w:r>
      <w:proofErr w:type="spellEnd"/>
      <w:r w:rsidRPr="00D16445">
        <w:t xml:space="preserve"> a </w:t>
      </w:r>
      <w:proofErr w:type="spellStart"/>
      <w:r w:rsidRPr="00D16445">
        <w:t>burdensome</w:t>
      </w:r>
      <w:proofErr w:type="spellEnd"/>
      <w:r w:rsidRPr="00D16445">
        <w:t xml:space="preserve"> </w:t>
      </w:r>
      <w:proofErr w:type="spellStart"/>
      <w:r w:rsidRPr="00D16445">
        <w:t>toxicity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5-FU-based </w:t>
      </w:r>
      <w:proofErr w:type="spellStart"/>
      <w:r w:rsidRPr="00D16445">
        <w:t>regimens</w:t>
      </w:r>
      <w:proofErr w:type="spellEnd"/>
      <w:r w:rsidRPr="00D16445">
        <w:t xml:space="preserve"> </w:t>
      </w:r>
      <w:proofErr w:type="spellStart"/>
      <w:r w:rsidRPr="00D16445">
        <w:t>and</w:t>
      </w:r>
      <w:proofErr w:type="spellEnd"/>
      <w:r w:rsidRPr="00D16445">
        <w:t xml:space="preserve"> </w:t>
      </w:r>
      <w:proofErr w:type="spellStart"/>
      <w:r w:rsidRPr="00D16445">
        <w:t>may</w:t>
      </w:r>
      <w:proofErr w:type="spellEnd"/>
      <w:r w:rsidRPr="00D16445">
        <w:t xml:space="preserve"> </w:t>
      </w:r>
      <w:proofErr w:type="spellStart"/>
      <w:r w:rsidRPr="00D16445">
        <w:t>lead</w:t>
      </w:r>
      <w:proofErr w:type="spellEnd"/>
      <w:r w:rsidRPr="00D16445">
        <w:t xml:space="preserve"> </w:t>
      </w:r>
      <w:proofErr w:type="spellStart"/>
      <w:r w:rsidRPr="00D16445">
        <w:t>to</w:t>
      </w:r>
      <w:proofErr w:type="spellEnd"/>
      <w:r w:rsidRPr="00D16445">
        <w:t xml:space="preserve"> CT </w:t>
      </w:r>
      <w:proofErr w:type="spellStart"/>
      <w:r w:rsidRPr="00D16445">
        <w:t>dose</w:t>
      </w:r>
      <w:proofErr w:type="spellEnd"/>
      <w:r w:rsidRPr="00D16445">
        <w:t xml:space="preserve"> </w:t>
      </w:r>
      <w:proofErr w:type="spellStart"/>
      <w:r w:rsidRPr="00D16445">
        <w:t>intensity</w:t>
      </w:r>
      <w:proofErr w:type="spellEnd"/>
      <w:r w:rsidRPr="00D16445">
        <w:t xml:space="preserve"> </w:t>
      </w:r>
      <w:proofErr w:type="spellStart"/>
      <w:r w:rsidRPr="00D16445">
        <w:t>reduction</w:t>
      </w:r>
      <w:proofErr w:type="spellEnd"/>
      <w:r w:rsidRPr="00D16445">
        <w:t xml:space="preserve">. </w:t>
      </w:r>
      <w:proofErr w:type="spellStart"/>
      <w:r w:rsidRPr="00D16445">
        <w:t>We</w:t>
      </w:r>
      <w:proofErr w:type="spellEnd"/>
      <w:r w:rsidRPr="00D16445">
        <w:t xml:space="preserve"> </w:t>
      </w:r>
      <w:proofErr w:type="spellStart"/>
      <w:r w:rsidRPr="00D16445">
        <w:t>investigated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efficacy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3 </w:t>
      </w:r>
      <w:proofErr w:type="spellStart"/>
      <w:r w:rsidRPr="00D16445">
        <w:t>subcutaneous</w:t>
      </w:r>
      <w:proofErr w:type="spellEnd"/>
      <w:r w:rsidRPr="00D16445">
        <w:t xml:space="preserve"> (</w:t>
      </w:r>
      <w:proofErr w:type="spellStart"/>
      <w:r w:rsidRPr="00D16445">
        <w:t>s.c</w:t>
      </w:r>
      <w:proofErr w:type="spellEnd"/>
      <w:r w:rsidRPr="00D16445">
        <w:t xml:space="preserve">.) </w:t>
      </w:r>
      <w:proofErr w:type="spellStart"/>
      <w:r w:rsidRPr="00D16445">
        <w:t>doses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 (a GLP-2 </w:t>
      </w:r>
      <w:proofErr w:type="spellStart"/>
      <w:r w:rsidRPr="00D16445">
        <w:t>analog</w:t>
      </w:r>
      <w:proofErr w:type="spellEnd"/>
      <w:r w:rsidRPr="00D16445">
        <w:t xml:space="preserve">) </w:t>
      </w:r>
      <w:proofErr w:type="spellStart"/>
      <w:r w:rsidRPr="00D16445">
        <w:t>vs</w:t>
      </w:r>
      <w:proofErr w:type="spellEnd"/>
      <w:r w:rsidRPr="00D16445">
        <w:t xml:space="preserve">. </w:t>
      </w:r>
      <w:proofErr w:type="spellStart"/>
      <w:r w:rsidRPr="00D16445">
        <w:t>placebo</w:t>
      </w:r>
      <w:proofErr w:type="spellEnd"/>
      <w:r w:rsidRPr="00D16445">
        <w:t xml:space="preserve"> </w:t>
      </w:r>
      <w:proofErr w:type="spellStart"/>
      <w:r w:rsidRPr="00D16445">
        <w:t>and</w:t>
      </w:r>
      <w:proofErr w:type="spellEnd"/>
      <w:r w:rsidRPr="00D16445">
        <w:t xml:space="preserve"> </w:t>
      </w:r>
      <w:proofErr w:type="spellStart"/>
      <w:r w:rsidRPr="00D16445">
        <w:t>vs</w:t>
      </w:r>
      <w:proofErr w:type="spellEnd"/>
      <w:r w:rsidRPr="00D16445">
        <w:t xml:space="preserve">. </w:t>
      </w:r>
      <w:proofErr w:type="spellStart"/>
      <w:r w:rsidRPr="00D16445">
        <w:t>each</w:t>
      </w:r>
      <w:proofErr w:type="spellEnd"/>
      <w:r w:rsidRPr="00D16445">
        <w:t xml:space="preserve"> </w:t>
      </w:r>
      <w:proofErr w:type="spellStart"/>
      <w:r w:rsidRPr="00D16445">
        <w:t>other</w:t>
      </w:r>
      <w:proofErr w:type="spellEnd"/>
      <w:r w:rsidRPr="00D16445">
        <w:t xml:space="preserve">,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primary</w:t>
      </w:r>
      <w:proofErr w:type="spellEnd"/>
      <w:r w:rsidRPr="00D16445">
        <w:t xml:space="preserve"> </w:t>
      </w:r>
      <w:proofErr w:type="spellStart"/>
      <w:r w:rsidRPr="00D16445">
        <w:t>prevention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CT </w:t>
      </w:r>
      <w:proofErr w:type="spellStart"/>
      <w:r w:rsidRPr="00D16445">
        <w:t>induced</w:t>
      </w:r>
      <w:proofErr w:type="spellEnd"/>
      <w:r w:rsidRPr="00D16445">
        <w:t xml:space="preserve"> </w:t>
      </w:r>
      <w:proofErr w:type="spellStart"/>
      <w:r w:rsidRPr="00D16445">
        <w:t>diarrhea</w:t>
      </w:r>
      <w:proofErr w:type="spellEnd"/>
      <w:r w:rsidRPr="00D16445">
        <w:t xml:space="preserve">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patients</w:t>
      </w:r>
      <w:proofErr w:type="spellEnd"/>
      <w:r w:rsidRPr="00D16445">
        <w:t xml:space="preserve"> (</w:t>
      </w:r>
      <w:proofErr w:type="spellStart"/>
      <w:r w:rsidRPr="00D16445">
        <w:t>pts</w:t>
      </w:r>
      <w:proofErr w:type="spellEnd"/>
      <w:r w:rsidRPr="00D16445">
        <w:t xml:space="preserve">) </w:t>
      </w:r>
      <w:proofErr w:type="spellStart"/>
      <w:r w:rsidRPr="00D16445">
        <w:t>with</w:t>
      </w:r>
      <w:proofErr w:type="spellEnd"/>
      <w:r w:rsidRPr="00D16445">
        <w:t xml:space="preserve"> CRC </w:t>
      </w:r>
      <w:proofErr w:type="spellStart"/>
      <w:r w:rsidRPr="00D16445">
        <w:t>receiving</w:t>
      </w:r>
      <w:proofErr w:type="spellEnd"/>
      <w:r w:rsidRPr="00D16445">
        <w:t xml:space="preserve"> FOLFOX </w:t>
      </w:r>
      <w:proofErr w:type="spellStart"/>
      <w:r w:rsidRPr="00D16445">
        <w:t>or</w:t>
      </w:r>
      <w:proofErr w:type="spellEnd"/>
      <w:r w:rsidRPr="00D16445">
        <w:t xml:space="preserve"> FOLFIRI. </w:t>
      </w:r>
      <w:proofErr w:type="spellStart"/>
      <w:r w:rsidRPr="00D16445">
        <w:rPr>
          <w:b/>
          <w:bCs/>
        </w:rPr>
        <w:t>Methods</w:t>
      </w:r>
      <w:proofErr w:type="spellEnd"/>
      <w:r w:rsidRPr="00D16445">
        <w:rPr>
          <w:b/>
          <w:bCs/>
        </w:rPr>
        <w:t>:</w:t>
      </w:r>
      <w:r w:rsidRPr="00D16445">
        <w:t> </w:t>
      </w:r>
      <w:proofErr w:type="spellStart"/>
      <w:r w:rsidRPr="00D16445">
        <w:t>Pts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</w:t>
      </w:r>
      <w:proofErr w:type="spellStart"/>
      <w:r w:rsidRPr="00D16445">
        <w:t>randomized</w:t>
      </w:r>
      <w:proofErr w:type="spellEnd"/>
      <w:r w:rsidRPr="00D16445">
        <w:t xml:space="preserve"> </w:t>
      </w:r>
      <w:proofErr w:type="spellStart"/>
      <w:r w:rsidRPr="00D16445">
        <w:t>equally</w:t>
      </w:r>
      <w:proofErr w:type="spellEnd"/>
      <w:r w:rsidRPr="00D16445">
        <w:t xml:space="preserve"> </w:t>
      </w:r>
      <w:proofErr w:type="spellStart"/>
      <w:r w:rsidRPr="00D16445">
        <w:t>to</w:t>
      </w:r>
      <w:proofErr w:type="spellEnd"/>
      <w:r w:rsidRPr="00D16445">
        <w:t xml:space="preserve"> </w:t>
      </w:r>
      <w:proofErr w:type="spellStart"/>
      <w:r w:rsidRPr="00D16445">
        <w:t>receive</w:t>
      </w:r>
      <w:proofErr w:type="spellEnd"/>
      <w:r w:rsidRPr="00D16445">
        <w:t xml:space="preserve"> </w:t>
      </w:r>
      <w:proofErr w:type="spellStart"/>
      <w:r w:rsidRPr="00D16445">
        <w:t>placebo</w:t>
      </w:r>
      <w:proofErr w:type="spellEnd"/>
      <w:r w:rsidRPr="00D16445">
        <w:t xml:space="preserve"> </w:t>
      </w:r>
      <w:proofErr w:type="spellStart"/>
      <w:r w:rsidRPr="00D16445">
        <w:t>or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 10, 20, </w:t>
      </w:r>
      <w:proofErr w:type="spellStart"/>
      <w:r w:rsidRPr="00D16445">
        <w:t>or</w:t>
      </w:r>
      <w:proofErr w:type="spellEnd"/>
      <w:r w:rsidRPr="00D16445">
        <w:t xml:space="preserve"> 40 </w:t>
      </w:r>
      <w:proofErr w:type="spellStart"/>
      <w:r w:rsidRPr="00D16445">
        <w:t>mg</w:t>
      </w:r>
      <w:proofErr w:type="spellEnd"/>
      <w:r w:rsidRPr="00D16445">
        <w:t xml:space="preserve"> </w:t>
      </w:r>
      <w:proofErr w:type="spellStart"/>
      <w:r w:rsidRPr="00D16445">
        <w:t>s.c</w:t>
      </w:r>
      <w:proofErr w:type="spellEnd"/>
      <w:r w:rsidRPr="00D16445">
        <w:t xml:space="preserve">. </w:t>
      </w:r>
      <w:proofErr w:type="spellStart"/>
      <w:r w:rsidRPr="00D16445">
        <w:t>on</w:t>
      </w:r>
      <w:proofErr w:type="spellEnd"/>
      <w:r w:rsidRPr="00D16445">
        <w:t xml:space="preserve"> </w:t>
      </w:r>
      <w:proofErr w:type="spellStart"/>
      <w:r w:rsidRPr="00D16445">
        <w:t>days</w:t>
      </w:r>
      <w:proofErr w:type="spellEnd"/>
      <w:r w:rsidRPr="00D16445">
        <w:t xml:space="preserve"> (d)1–4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first</w:t>
      </w:r>
      <w:proofErr w:type="spellEnd"/>
      <w:r w:rsidRPr="00D16445">
        <w:t xml:space="preserve"> 2 CT </w:t>
      </w:r>
      <w:proofErr w:type="spellStart"/>
      <w:r w:rsidRPr="00D16445">
        <w:t>cycles</w:t>
      </w:r>
      <w:proofErr w:type="spellEnd"/>
      <w:r w:rsidRPr="00D16445">
        <w:t xml:space="preserve"> </w:t>
      </w:r>
      <w:proofErr w:type="spellStart"/>
      <w:r w:rsidRPr="00D16445">
        <w:t>and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</w:t>
      </w:r>
      <w:proofErr w:type="spellStart"/>
      <w:r w:rsidRPr="00D16445">
        <w:t>followed</w:t>
      </w:r>
      <w:proofErr w:type="spellEnd"/>
      <w:r w:rsidRPr="00D16445">
        <w:t xml:space="preserve"> </w:t>
      </w:r>
      <w:proofErr w:type="spellStart"/>
      <w:r w:rsidRPr="00D16445">
        <w:t>up</w:t>
      </w:r>
      <w:proofErr w:type="spellEnd"/>
      <w:r w:rsidRPr="00D16445">
        <w:t xml:space="preserve">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cycle</w:t>
      </w:r>
      <w:proofErr w:type="spellEnd"/>
      <w:r w:rsidRPr="00D16445">
        <w:t xml:space="preserve"> 3 </w:t>
      </w:r>
      <w:proofErr w:type="spellStart"/>
      <w:r w:rsidRPr="00D16445">
        <w:t>for</w:t>
      </w:r>
      <w:proofErr w:type="spellEnd"/>
      <w:r w:rsidRPr="00D16445">
        <w:t xml:space="preserve"> </w:t>
      </w:r>
      <w:proofErr w:type="spellStart"/>
      <w:r w:rsidRPr="00D16445">
        <w:t>safety</w:t>
      </w:r>
      <w:proofErr w:type="spellEnd"/>
      <w:r w:rsidRPr="00D16445">
        <w:t xml:space="preserve"> </w:t>
      </w:r>
      <w:proofErr w:type="spellStart"/>
      <w:r w:rsidRPr="00D16445">
        <w:t>only</w:t>
      </w:r>
      <w:proofErr w:type="spellEnd"/>
      <w:r w:rsidRPr="00D16445">
        <w:t xml:space="preserve">. </w:t>
      </w:r>
      <w:proofErr w:type="spellStart"/>
      <w:r w:rsidRPr="00D16445">
        <w:t>Stratification</w:t>
      </w:r>
      <w:proofErr w:type="spellEnd"/>
      <w:r w:rsidRPr="00D16445">
        <w:t xml:space="preserve"> </w:t>
      </w:r>
      <w:proofErr w:type="spellStart"/>
      <w:r w:rsidRPr="00D16445">
        <w:t>factors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CT </w:t>
      </w:r>
      <w:proofErr w:type="spellStart"/>
      <w:r w:rsidRPr="00D16445">
        <w:t>regimen</w:t>
      </w:r>
      <w:proofErr w:type="spellEnd"/>
      <w:r w:rsidRPr="00D16445">
        <w:t xml:space="preserve"> </w:t>
      </w:r>
      <w:proofErr w:type="spellStart"/>
      <w:r w:rsidRPr="00D16445">
        <w:t>and</w:t>
      </w:r>
      <w:proofErr w:type="spellEnd"/>
      <w:r w:rsidRPr="00D16445">
        <w:t xml:space="preserve"> </w:t>
      </w:r>
      <w:proofErr w:type="spellStart"/>
      <w:r w:rsidRPr="00D16445">
        <w:t>country</w:t>
      </w:r>
      <w:proofErr w:type="spellEnd"/>
      <w:r w:rsidRPr="00D16445">
        <w:t xml:space="preserve">. </w:t>
      </w:r>
      <w:proofErr w:type="spellStart"/>
      <w:r w:rsidRPr="00D16445">
        <w:t>Primary</w:t>
      </w:r>
      <w:proofErr w:type="spellEnd"/>
      <w:r w:rsidRPr="00D16445">
        <w:t xml:space="preserve"> </w:t>
      </w:r>
      <w:proofErr w:type="spellStart"/>
      <w:r w:rsidRPr="00D16445">
        <w:t>endpoint</w:t>
      </w:r>
      <w:proofErr w:type="spellEnd"/>
      <w:r w:rsidRPr="00D16445">
        <w:t xml:space="preserve"> </w:t>
      </w:r>
      <w:proofErr w:type="spellStart"/>
      <w:r w:rsidRPr="00D16445">
        <w:t>was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proportion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pts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diarrhea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CTC </w:t>
      </w:r>
      <w:proofErr w:type="spellStart"/>
      <w:r w:rsidRPr="00D16445">
        <w:t>grade</w:t>
      </w:r>
      <w:proofErr w:type="spellEnd"/>
      <w:r w:rsidRPr="00D16445">
        <w:t xml:space="preserve"> ≥2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cycle</w:t>
      </w:r>
      <w:proofErr w:type="spellEnd"/>
      <w:r w:rsidRPr="00D16445">
        <w:t xml:space="preserve"> 1. </w:t>
      </w:r>
      <w:proofErr w:type="spellStart"/>
      <w:r w:rsidRPr="00D16445">
        <w:t>Changes</w:t>
      </w:r>
      <w:proofErr w:type="spellEnd"/>
      <w:r w:rsidRPr="00D16445">
        <w:t xml:space="preserve">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plasma</w:t>
      </w:r>
      <w:proofErr w:type="spellEnd"/>
      <w:r w:rsidRPr="00D16445">
        <w:t xml:space="preserve"> </w:t>
      </w:r>
      <w:proofErr w:type="spellStart"/>
      <w:r w:rsidRPr="00D16445">
        <w:t>levels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citrulline</w:t>
      </w:r>
      <w:proofErr w:type="spellEnd"/>
      <w:r w:rsidRPr="00D16445">
        <w:t xml:space="preserve">, a </w:t>
      </w:r>
      <w:proofErr w:type="spellStart"/>
      <w:r w:rsidRPr="00D16445">
        <w:t>marker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intestinal</w:t>
      </w:r>
      <w:proofErr w:type="spellEnd"/>
      <w:r w:rsidRPr="00D16445">
        <w:t xml:space="preserve"> </w:t>
      </w:r>
      <w:proofErr w:type="spellStart"/>
      <w:r w:rsidRPr="00D16445">
        <w:t>mass</w:t>
      </w:r>
      <w:proofErr w:type="spellEnd"/>
      <w:r w:rsidRPr="00D16445">
        <w:t xml:space="preserve">, </w:t>
      </w:r>
      <w:proofErr w:type="spellStart"/>
      <w:r w:rsidRPr="00D16445">
        <w:t>from</w:t>
      </w:r>
      <w:proofErr w:type="spellEnd"/>
      <w:r w:rsidRPr="00D16445">
        <w:t xml:space="preserve"> </w:t>
      </w:r>
      <w:proofErr w:type="spellStart"/>
      <w:r w:rsidRPr="00D16445">
        <w:t>baseline</w:t>
      </w:r>
      <w:proofErr w:type="spellEnd"/>
      <w:r w:rsidRPr="00D16445">
        <w:t xml:space="preserve"> </w:t>
      </w:r>
      <w:proofErr w:type="spellStart"/>
      <w:r w:rsidRPr="00D16445">
        <w:t>to</w:t>
      </w:r>
      <w:proofErr w:type="spellEnd"/>
      <w:r w:rsidRPr="00D16445">
        <w:t xml:space="preserve"> d5 </w:t>
      </w:r>
      <w:proofErr w:type="spellStart"/>
      <w:r w:rsidRPr="00D16445">
        <w:t>and</w:t>
      </w:r>
      <w:proofErr w:type="spellEnd"/>
      <w:r w:rsidRPr="00D16445">
        <w:t xml:space="preserve"> d14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each</w:t>
      </w:r>
      <w:proofErr w:type="spellEnd"/>
      <w:r w:rsidRPr="00D16445">
        <w:t xml:space="preserve"> </w:t>
      </w:r>
      <w:proofErr w:type="spellStart"/>
      <w:r w:rsidRPr="00D16445">
        <w:t>cycle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</w:t>
      </w:r>
      <w:proofErr w:type="spellStart"/>
      <w:r w:rsidRPr="00D16445">
        <w:t>analyzed</w:t>
      </w:r>
      <w:proofErr w:type="spellEnd"/>
      <w:r w:rsidRPr="00D16445">
        <w:t xml:space="preserve">. </w:t>
      </w:r>
      <w:proofErr w:type="spellStart"/>
      <w:r w:rsidRPr="00D16445">
        <w:t>With</w:t>
      </w:r>
      <w:proofErr w:type="spellEnd"/>
      <w:r w:rsidRPr="00D16445">
        <w:t xml:space="preserve"> 480 </w:t>
      </w:r>
      <w:proofErr w:type="spellStart"/>
      <w:r w:rsidRPr="00D16445">
        <w:t>pts</w:t>
      </w:r>
      <w:proofErr w:type="spellEnd"/>
      <w:r w:rsidRPr="00D16445">
        <w:t xml:space="preserve"> </w:t>
      </w:r>
      <w:proofErr w:type="spellStart"/>
      <w:r w:rsidRPr="00D16445">
        <w:t>randomized</w:t>
      </w:r>
      <w:proofErr w:type="spellEnd"/>
      <w:r w:rsidRPr="00D16445">
        <w:t xml:space="preserve">,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study</w:t>
      </w:r>
      <w:proofErr w:type="spellEnd"/>
      <w:r w:rsidRPr="00D16445">
        <w:t xml:space="preserve"> </w:t>
      </w:r>
      <w:proofErr w:type="spellStart"/>
      <w:r w:rsidRPr="00D16445">
        <w:t>had</w:t>
      </w:r>
      <w:proofErr w:type="spellEnd"/>
      <w:r w:rsidRPr="00D16445">
        <w:t xml:space="preserve"> 85% </w:t>
      </w:r>
      <w:proofErr w:type="spellStart"/>
      <w:r w:rsidRPr="00D16445">
        <w:t>power</w:t>
      </w:r>
      <w:proofErr w:type="spellEnd"/>
      <w:r w:rsidRPr="00D16445">
        <w:t xml:space="preserve"> </w:t>
      </w:r>
      <w:proofErr w:type="spellStart"/>
      <w:r w:rsidRPr="00D16445">
        <w:t>to</w:t>
      </w:r>
      <w:proofErr w:type="spellEnd"/>
      <w:r w:rsidRPr="00D16445">
        <w:t xml:space="preserve"> </w:t>
      </w:r>
      <w:proofErr w:type="spellStart"/>
      <w:r w:rsidRPr="00D16445">
        <w:t>detect</w:t>
      </w:r>
      <w:proofErr w:type="spellEnd"/>
      <w:r w:rsidRPr="00D16445">
        <w:t xml:space="preserve"> a 15% </w:t>
      </w:r>
      <w:proofErr w:type="spellStart"/>
      <w:r w:rsidRPr="00D16445">
        <w:t>difference</w:t>
      </w:r>
      <w:proofErr w:type="spellEnd"/>
      <w:r w:rsidRPr="00D16445">
        <w:t xml:space="preserve"> </w:t>
      </w:r>
      <w:proofErr w:type="spellStart"/>
      <w:r w:rsidRPr="00D16445">
        <w:t>vs</w:t>
      </w:r>
      <w:proofErr w:type="spellEnd"/>
      <w:r w:rsidRPr="00D16445">
        <w:t xml:space="preserve">. </w:t>
      </w:r>
      <w:proofErr w:type="spellStart"/>
      <w:r w:rsidRPr="00D16445">
        <w:t>placebo</w:t>
      </w:r>
      <w:proofErr w:type="spellEnd"/>
      <w:r w:rsidRPr="00D16445">
        <w:t xml:space="preserve"> </w:t>
      </w:r>
      <w:proofErr w:type="spellStart"/>
      <w:r w:rsidRPr="00D16445">
        <w:t>for</w:t>
      </w:r>
      <w:proofErr w:type="spellEnd"/>
      <w:r w:rsidRPr="00D16445">
        <w:t xml:space="preserve"> </w:t>
      </w:r>
      <w:proofErr w:type="spellStart"/>
      <w:r w:rsidRPr="00D16445">
        <w:t>each</w:t>
      </w:r>
      <w:proofErr w:type="spellEnd"/>
      <w:r w:rsidRPr="00D16445">
        <w:t xml:space="preserve"> </w:t>
      </w:r>
      <w:proofErr w:type="spellStart"/>
      <w:r w:rsidRPr="00D16445">
        <w:t>dose</w:t>
      </w:r>
      <w:proofErr w:type="spellEnd"/>
      <w:r w:rsidRPr="00D16445">
        <w:t xml:space="preserve"> </w:t>
      </w:r>
      <w:proofErr w:type="spellStart"/>
      <w:r w:rsidRPr="00D16445">
        <w:t>at</w:t>
      </w:r>
      <w:proofErr w:type="spellEnd"/>
      <w:r w:rsidRPr="00D16445">
        <w:t xml:space="preserve"> </w:t>
      </w:r>
      <w:proofErr w:type="spellStart"/>
      <w:r w:rsidRPr="00D16445">
        <w:t>an</w:t>
      </w:r>
      <w:proofErr w:type="spellEnd"/>
      <w:r w:rsidRPr="00D16445">
        <w:t xml:space="preserve"> </w:t>
      </w:r>
      <w:proofErr w:type="spellStart"/>
      <w:r w:rsidRPr="00D16445">
        <w:t>alpha</w:t>
      </w:r>
      <w:proofErr w:type="spellEnd"/>
      <w:r w:rsidRPr="00D16445">
        <w:t xml:space="preserve"> </w:t>
      </w:r>
      <w:proofErr w:type="spellStart"/>
      <w:r w:rsidRPr="00D16445">
        <w:t>level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0.1, </w:t>
      </w:r>
      <w:proofErr w:type="spellStart"/>
      <w:r w:rsidRPr="00D16445">
        <w:t>assuming</w:t>
      </w:r>
      <w:proofErr w:type="spellEnd"/>
      <w:r w:rsidRPr="00D16445">
        <w:t xml:space="preserve"> a 20% </w:t>
      </w:r>
      <w:proofErr w:type="spellStart"/>
      <w:r w:rsidRPr="00D16445">
        <w:t>frequency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diarrhea</w:t>
      </w:r>
      <w:proofErr w:type="spellEnd"/>
      <w:r w:rsidRPr="00D16445">
        <w:t xml:space="preserve"> CTC </w:t>
      </w:r>
      <w:proofErr w:type="spellStart"/>
      <w:r w:rsidRPr="00D16445">
        <w:t>grade</w:t>
      </w:r>
      <w:proofErr w:type="spellEnd"/>
      <w:r w:rsidRPr="00D16445">
        <w:t xml:space="preserve"> ≥2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placebo</w:t>
      </w:r>
      <w:proofErr w:type="spellEnd"/>
      <w:r w:rsidRPr="00D16445">
        <w:t xml:space="preserve"> </w:t>
      </w:r>
      <w:proofErr w:type="spellStart"/>
      <w:r w:rsidRPr="00D16445">
        <w:t>arm</w:t>
      </w:r>
      <w:proofErr w:type="spellEnd"/>
      <w:r w:rsidRPr="00D16445">
        <w:t>. </w:t>
      </w:r>
      <w:proofErr w:type="spellStart"/>
      <w:r w:rsidRPr="00D16445">
        <w:rPr>
          <w:b/>
          <w:bCs/>
        </w:rPr>
        <w:t>Results</w:t>
      </w:r>
      <w:proofErr w:type="spellEnd"/>
      <w:r w:rsidRPr="00D16445">
        <w:rPr>
          <w:b/>
          <w:bCs/>
        </w:rPr>
        <w:t>:</w:t>
      </w:r>
      <w:r w:rsidRPr="00D16445">
        <w:t> </w:t>
      </w:r>
      <w:proofErr w:type="spellStart"/>
      <w:r w:rsidRPr="00D16445">
        <w:t>Treatment</w:t>
      </w:r>
      <w:proofErr w:type="spellEnd"/>
      <w:r w:rsidRPr="00D16445">
        <w:t xml:space="preserve"> </w:t>
      </w:r>
      <w:proofErr w:type="spellStart"/>
      <w:r w:rsidRPr="00D16445">
        <w:t>groups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</w:t>
      </w:r>
      <w:proofErr w:type="spellStart"/>
      <w:r w:rsidRPr="00D16445">
        <w:t>comparable</w:t>
      </w:r>
      <w:proofErr w:type="spellEnd"/>
      <w:r w:rsidRPr="00D16445">
        <w:t xml:space="preserve"> </w:t>
      </w:r>
      <w:proofErr w:type="spellStart"/>
      <w:r w:rsidRPr="00D16445">
        <w:t>for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484 </w:t>
      </w:r>
      <w:proofErr w:type="spellStart"/>
      <w:r w:rsidRPr="00D16445">
        <w:t>pts</w:t>
      </w:r>
      <w:proofErr w:type="spellEnd"/>
      <w:r w:rsidRPr="00D16445">
        <w:t xml:space="preserve"> (142 </w:t>
      </w:r>
      <w:proofErr w:type="spellStart"/>
      <w:r w:rsidRPr="00D16445">
        <w:t>receiving</w:t>
      </w:r>
      <w:proofErr w:type="spellEnd"/>
      <w:r w:rsidRPr="00D16445">
        <w:t xml:space="preserve"> FOLFIRI) </w:t>
      </w:r>
      <w:proofErr w:type="spellStart"/>
      <w:r w:rsidRPr="00D16445">
        <w:t>who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</w:t>
      </w:r>
      <w:proofErr w:type="spellStart"/>
      <w:r w:rsidRPr="00D16445">
        <w:t>randomized</w:t>
      </w:r>
      <w:proofErr w:type="spellEnd"/>
      <w:r w:rsidRPr="00D16445">
        <w:t xml:space="preserve"> </w:t>
      </w:r>
      <w:proofErr w:type="spellStart"/>
      <w:r w:rsidRPr="00D16445">
        <w:t>to</w:t>
      </w:r>
      <w:proofErr w:type="spellEnd"/>
      <w:r w:rsidRPr="00D16445">
        <w:t xml:space="preserve"> </w:t>
      </w:r>
      <w:proofErr w:type="spellStart"/>
      <w:r w:rsidRPr="00D16445">
        <w:t>receive</w:t>
      </w:r>
      <w:proofErr w:type="spellEnd"/>
      <w:r w:rsidRPr="00D16445">
        <w:t xml:space="preserve"> </w:t>
      </w:r>
      <w:proofErr w:type="spellStart"/>
      <w:r w:rsidRPr="00D16445">
        <w:t>placebo</w:t>
      </w:r>
      <w:proofErr w:type="spellEnd"/>
      <w:r w:rsidRPr="00D16445">
        <w:t xml:space="preserve"> (n = 123), </w:t>
      </w:r>
      <w:proofErr w:type="spellStart"/>
      <w:r w:rsidRPr="00D16445">
        <w:t>elsiglutide</w:t>
      </w:r>
      <w:proofErr w:type="spellEnd"/>
      <w:r w:rsidRPr="00D16445">
        <w:t xml:space="preserve"> 10 </w:t>
      </w:r>
      <w:proofErr w:type="spellStart"/>
      <w:r w:rsidRPr="00D16445">
        <w:t>mg</w:t>
      </w:r>
      <w:proofErr w:type="spellEnd"/>
      <w:r w:rsidRPr="00D16445">
        <w:t xml:space="preserve"> (n = 120), 20 </w:t>
      </w:r>
      <w:proofErr w:type="spellStart"/>
      <w:r w:rsidRPr="00D16445">
        <w:t>mg</w:t>
      </w:r>
      <w:proofErr w:type="spellEnd"/>
      <w:r w:rsidRPr="00D16445">
        <w:t xml:space="preserve"> (n = 121), </w:t>
      </w:r>
      <w:proofErr w:type="spellStart"/>
      <w:r w:rsidRPr="00D16445">
        <w:t>or</w:t>
      </w:r>
      <w:proofErr w:type="spellEnd"/>
      <w:r w:rsidRPr="00D16445">
        <w:t xml:space="preserve"> 40 </w:t>
      </w:r>
      <w:proofErr w:type="spellStart"/>
      <w:r w:rsidRPr="00D16445">
        <w:t>mg</w:t>
      </w:r>
      <w:proofErr w:type="spellEnd"/>
      <w:r w:rsidRPr="00D16445">
        <w:t xml:space="preserve"> (n = 120), </w:t>
      </w:r>
      <w:proofErr w:type="spellStart"/>
      <w:r w:rsidRPr="00D16445">
        <w:t>respectively</w:t>
      </w:r>
      <w:proofErr w:type="spellEnd"/>
      <w:r w:rsidRPr="00D16445">
        <w:t xml:space="preserve">.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proportion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pts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diarrhea</w:t>
      </w:r>
      <w:proofErr w:type="spellEnd"/>
      <w:r w:rsidRPr="00D16445">
        <w:t xml:space="preserve"> CTC </w:t>
      </w:r>
      <w:proofErr w:type="spellStart"/>
      <w:r w:rsidRPr="00D16445">
        <w:t>grade</w:t>
      </w:r>
      <w:proofErr w:type="spellEnd"/>
      <w:r w:rsidRPr="00D16445">
        <w:t xml:space="preserve"> ≥2 </w:t>
      </w:r>
      <w:proofErr w:type="spellStart"/>
      <w:r w:rsidRPr="00D16445">
        <w:t>was</w:t>
      </w:r>
      <w:proofErr w:type="spellEnd"/>
      <w:r w:rsidRPr="00D16445">
        <w:t xml:space="preserve"> </w:t>
      </w:r>
      <w:proofErr w:type="spellStart"/>
      <w:r w:rsidRPr="00D16445">
        <w:t>higher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placebo</w:t>
      </w:r>
      <w:proofErr w:type="spellEnd"/>
      <w:r w:rsidRPr="00D16445">
        <w:t xml:space="preserve"> (10%) </w:t>
      </w:r>
      <w:proofErr w:type="spellStart"/>
      <w:r w:rsidRPr="00D16445">
        <w:t>than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 10 </w:t>
      </w:r>
      <w:proofErr w:type="spellStart"/>
      <w:r w:rsidRPr="00D16445">
        <w:t>mg</w:t>
      </w:r>
      <w:proofErr w:type="spellEnd"/>
      <w:r w:rsidRPr="00D16445">
        <w:t xml:space="preserve"> (3%), 20 </w:t>
      </w:r>
      <w:proofErr w:type="spellStart"/>
      <w:r w:rsidRPr="00D16445">
        <w:t>mg</w:t>
      </w:r>
      <w:proofErr w:type="spellEnd"/>
      <w:r w:rsidRPr="00D16445">
        <w:t xml:space="preserve"> (5%) </w:t>
      </w:r>
      <w:proofErr w:type="spellStart"/>
      <w:r w:rsidRPr="00D16445">
        <w:t>and</w:t>
      </w:r>
      <w:proofErr w:type="spellEnd"/>
      <w:r w:rsidRPr="00D16445">
        <w:t xml:space="preserve"> 40 </w:t>
      </w:r>
      <w:proofErr w:type="spellStart"/>
      <w:r w:rsidRPr="00D16445">
        <w:t>mg</w:t>
      </w:r>
      <w:proofErr w:type="spellEnd"/>
      <w:r w:rsidRPr="00D16445">
        <w:t xml:space="preserve"> (6%); </w:t>
      </w:r>
      <w:proofErr w:type="spellStart"/>
      <w:r w:rsidRPr="00D16445">
        <w:t>differences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</w:t>
      </w:r>
      <w:proofErr w:type="spellStart"/>
      <w:r w:rsidRPr="00D16445">
        <w:t>not</w:t>
      </w:r>
      <w:proofErr w:type="spellEnd"/>
      <w:r w:rsidRPr="00D16445">
        <w:t xml:space="preserve"> </w:t>
      </w:r>
      <w:proofErr w:type="spellStart"/>
      <w:r w:rsidRPr="00D16445">
        <w:t>statistically</w:t>
      </w:r>
      <w:proofErr w:type="spellEnd"/>
      <w:r w:rsidRPr="00D16445">
        <w:t xml:space="preserve"> </w:t>
      </w:r>
      <w:proofErr w:type="spellStart"/>
      <w:r w:rsidRPr="00D16445">
        <w:t>significant</w:t>
      </w:r>
      <w:proofErr w:type="spellEnd"/>
      <w:r w:rsidRPr="00D16445">
        <w:t xml:space="preserve">. A </w:t>
      </w:r>
      <w:proofErr w:type="spellStart"/>
      <w:r w:rsidRPr="00D16445">
        <w:t>similar</w:t>
      </w:r>
      <w:proofErr w:type="spellEnd"/>
      <w:r w:rsidRPr="00D16445">
        <w:t xml:space="preserve"> </w:t>
      </w:r>
      <w:proofErr w:type="spellStart"/>
      <w:r w:rsidRPr="00D16445">
        <w:t>pattern</w:t>
      </w:r>
      <w:proofErr w:type="spellEnd"/>
      <w:r w:rsidRPr="00D16445">
        <w:t xml:space="preserve"> </w:t>
      </w:r>
      <w:proofErr w:type="spellStart"/>
      <w:r w:rsidRPr="00D16445">
        <w:t>was</w:t>
      </w:r>
      <w:proofErr w:type="spellEnd"/>
      <w:r w:rsidRPr="00D16445">
        <w:t xml:space="preserve"> </w:t>
      </w:r>
      <w:proofErr w:type="spellStart"/>
      <w:r w:rsidRPr="00D16445">
        <w:t>observed</w:t>
      </w:r>
      <w:proofErr w:type="spellEnd"/>
      <w:r w:rsidRPr="00D16445">
        <w:t xml:space="preserve">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cycle</w:t>
      </w:r>
      <w:proofErr w:type="spellEnd"/>
      <w:r w:rsidRPr="00D16445">
        <w:t xml:space="preserve"> 2. </w:t>
      </w:r>
      <w:proofErr w:type="spellStart"/>
      <w:r w:rsidRPr="00D16445">
        <w:t>Differences</w:t>
      </w:r>
      <w:proofErr w:type="spellEnd"/>
      <w:r w:rsidRPr="00D16445">
        <w:t xml:space="preserve">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diarrhea</w:t>
      </w:r>
      <w:proofErr w:type="spellEnd"/>
      <w:r w:rsidRPr="00D16445">
        <w:t xml:space="preserve"> </w:t>
      </w:r>
      <w:proofErr w:type="spellStart"/>
      <w:r w:rsidRPr="00D16445">
        <w:t>frequency</w:t>
      </w:r>
      <w:proofErr w:type="spellEnd"/>
      <w:r w:rsidRPr="00D16445">
        <w:t xml:space="preserve"> </w:t>
      </w:r>
      <w:proofErr w:type="spellStart"/>
      <w:r w:rsidRPr="00D16445">
        <w:t>between</w:t>
      </w:r>
      <w:proofErr w:type="spellEnd"/>
      <w:r w:rsidRPr="00D16445">
        <w:t xml:space="preserve"> </w:t>
      </w:r>
      <w:proofErr w:type="spellStart"/>
      <w:r w:rsidRPr="00D16445">
        <w:t>placebo</w:t>
      </w:r>
      <w:proofErr w:type="spellEnd"/>
      <w:r w:rsidRPr="00D16445">
        <w:t xml:space="preserve"> </w:t>
      </w:r>
      <w:proofErr w:type="spellStart"/>
      <w:r w:rsidRPr="00D16445">
        <w:t>and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 </w:t>
      </w:r>
      <w:proofErr w:type="spellStart"/>
      <w:r w:rsidRPr="00D16445">
        <w:t>groups</w:t>
      </w:r>
      <w:proofErr w:type="spellEnd"/>
      <w:r w:rsidRPr="00D16445">
        <w:t xml:space="preserve"> </w:t>
      </w:r>
      <w:proofErr w:type="spellStart"/>
      <w:r w:rsidRPr="00D16445">
        <w:t>were</w:t>
      </w:r>
      <w:proofErr w:type="spellEnd"/>
      <w:r w:rsidRPr="00D16445">
        <w:t xml:space="preserve"> </w:t>
      </w:r>
      <w:proofErr w:type="spellStart"/>
      <w:r w:rsidRPr="00D16445">
        <w:t>pronounced</w:t>
      </w:r>
      <w:proofErr w:type="spellEnd"/>
      <w:r w:rsidRPr="00D16445">
        <w:t xml:space="preserve">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FOLFIRI </w:t>
      </w:r>
      <w:proofErr w:type="spellStart"/>
      <w:r w:rsidRPr="00D16445">
        <w:t>subgroup</w:t>
      </w:r>
      <w:proofErr w:type="spellEnd"/>
      <w:r w:rsidRPr="00D16445">
        <w:t xml:space="preserve"> (</w:t>
      </w:r>
      <w:proofErr w:type="spellStart"/>
      <w:r w:rsidRPr="00D16445">
        <w:t>cycle</w:t>
      </w:r>
      <w:proofErr w:type="spellEnd"/>
      <w:r w:rsidRPr="00D16445">
        <w:t xml:space="preserve"> 1: 18%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placebo</w:t>
      </w:r>
      <w:proofErr w:type="spellEnd"/>
      <w:r w:rsidRPr="00D16445">
        <w:t xml:space="preserve">, 6% </w:t>
      </w:r>
      <w:proofErr w:type="spellStart"/>
      <w:r w:rsidRPr="00D16445">
        <w:t>with</w:t>
      </w:r>
      <w:proofErr w:type="spellEnd"/>
      <w:r w:rsidRPr="00D16445">
        <w:t xml:space="preserve"> 10 </w:t>
      </w:r>
      <w:proofErr w:type="spellStart"/>
      <w:r w:rsidRPr="00D16445">
        <w:t>mg</w:t>
      </w:r>
      <w:proofErr w:type="spellEnd"/>
      <w:r w:rsidRPr="00D16445">
        <w:t xml:space="preserve"> </w:t>
      </w:r>
      <w:proofErr w:type="spellStart"/>
      <w:r w:rsidRPr="00D16445">
        <w:t>and</w:t>
      </w:r>
      <w:proofErr w:type="spellEnd"/>
      <w:r w:rsidRPr="00D16445">
        <w:t xml:space="preserve"> 20 </w:t>
      </w:r>
      <w:proofErr w:type="spellStart"/>
      <w:r w:rsidRPr="00D16445">
        <w:t>mg</w:t>
      </w:r>
      <w:proofErr w:type="spellEnd"/>
      <w:r w:rsidRPr="00D16445">
        <w:t xml:space="preserve">; 3% </w:t>
      </w:r>
      <w:proofErr w:type="spellStart"/>
      <w:r w:rsidRPr="00D16445">
        <w:t>with</w:t>
      </w:r>
      <w:proofErr w:type="spellEnd"/>
      <w:r w:rsidRPr="00D16445">
        <w:t xml:space="preserve"> 40 </w:t>
      </w:r>
      <w:proofErr w:type="spellStart"/>
      <w:r w:rsidRPr="00D16445">
        <w:t>mg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). </w:t>
      </w:r>
      <w:proofErr w:type="spellStart"/>
      <w:r w:rsidRPr="00D16445">
        <w:t>Reduction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citrulline</w:t>
      </w:r>
      <w:proofErr w:type="spellEnd"/>
      <w:r w:rsidRPr="00D16445">
        <w:t xml:space="preserve"> </w:t>
      </w:r>
      <w:proofErr w:type="spellStart"/>
      <w:r w:rsidRPr="00D16445">
        <w:t>levels</w:t>
      </w:r>
      <w:proofErr w:type="spellEnd"/>
      <w:r w:rsidRPr="00D16445">
        <w:t xml:space="preserve"> </w:t>
      </w:r>
      <w:proofErr w:type="spellStart"/>
      <w:r w:rsidRPr="00D16445">
        <w:t>was</w:t>
      </w:r>
      <w:proofErr w:type="spellEnd"/>
      <w:r w:rsidRPr="00D16445">
        <w:t xml:space="preserve"> </w:t>
      </w:r>
      <w:proofErr w:type="spellStart"/>
      <w:r w:rsidRPr="00D16445">
        <w:t>smaller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 </w:t>
      </w:r>
      <w:proofErr w:type="spellStart"/>
      <w:r w:rsidRPr="00D16445">
        <w:t>compared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placebo</w:t>
      </w:r>
      <w:proofErr w:type="spellEnd"/>
      <w:r w:rsidRPr="00D16445">
        <w:t xml:space="preserve">.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safety</w:t>
      </w:r>
      <w:proofErr w:type="spellEnd"/>
      <w:r w:rsidRPr="00D16445">
        <w:t xml:space="preserve"> </w:t>
      </w:r>
      <w:proofErr w:type="spellStart"/>
      <w:r w:rsidRPr="00D16445">
        <w:t>profile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all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 </w:t>
      </w:r>
      <w:proofErr w:type="spellStart"/>
      <w:r w:rsidRPr="00D16445">
        <w:t>doses</w:t>
      </w:r>
      <w:proofErr w:type="spellEnd"/>
      <w:r w:rsidRPr="00D16445">
        <w:t xml:space="preserve"> </w:t>
      </w:r>
      <w:proofErr w:type="spellStart"/>
      <w:r w:rsidRPr="00D16445">
        <w:t>was</w:t>
      </w:r>
      <w:proofErr w:type="spellEnd"/>
      <w:r w:rsidRPr="00D16445">
        <w:t xml:space="preserve"> </w:t>
      </w:r>
      <w:proofErr w:type="spellStart"/>
      <w:r w:rsidRPr="00D16445">
        <w:t>acceptable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few</w:t>
      </w:r>
      <w:proofErr w:type="spellEnd"/>
      <w:r w:rsidRPr="00D16445">
        <w:t xml:space="preserve"> </w:t>
      </w:r>
      <w:proofErr w:type="spellStart"/>
      <w:r w:rsidRPr="00D16445">
        <w:t>related</w:t>
      </w:r>
      <w:proofErr w:type="spellEnd"/>
      <w:r w:rsidRPr="00D16445">
        <w:t xml:space="preserve"> </w:t>
      </w:r>
      <w:proofErr w:type="spellStart"/>
      <w:r w:rsidRPr="00D16445">
        <w:t>injection</w:t>
      </w:r>
      <w:proofErr w:type="spellEnd"/>
      <w:r w:rsidRPr="00D16445">
        <w:t xml:space="preserve"> </w:t>
      </w:r>
      <w:proofErr w:type="spellStart"/>
      <w:r w:rsidRPr="00D16445">
        <w:t>site</w:t>
      </w:r>
      <w:proofErr w:type="spellEnd"/>
      <w:r w:rsidRPr="00D16445">
        <w:t xml:space="preserve"> </w:t>
      </w:r>
      <w:proofErr w:type="spellStart"/>
      <w:r w:rsidRPr="00D16445">
        <w:t>reactions</w:t>
      </w:r>
      <w:proofErr w:type="spellEnd"/>
      <w:r w:rsidRPr="00D16445">
        <w:t xml:space="preserve">, </w:t>
      </w:r>
      <w:proofErr w:type="spellStart"/>
      <w:r w:rsidRPr="00D16445">
        <w:t>mostly</w:t>
      </w:r>
      <w:proofErr w:type="spellEnd"/>
      <w:r w:rsidRPr="00D16445">
        <w:t xml:space="preserve"> </w:t>
      </w:r>
      <w:proofErr w:type="spellStart"/>
      <w:r w:rsidRPr="00D16445">
        <w:t>at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highest</w:t>
      </w:r>
      <w:proofErr w:type="spellEnd"/>
      <w:r w:rsidRPr="00D16445">
        <w:t xml:space="preserve"> </w:t>
      </w:r>
      <w:proofErr w:type="spellStart"/>
      <w:r w:rsidRPr="00D16445">
        <w:t>dose</w:t>
      </w:r>
      <w:proofErr w:type="spellEnd"/>
      <w:r w:rsidRPr="00D16445">
        <w:t>. </w:t>
      </w:r>
      <w:proofErr w:type="spellStart"/>
      <w:r w:rsidRPr="00D16445">
        <w:rPr>
          <w:b/>
          <w:bCs/>
        </w:rPr>
        <w:t>Conclusions</w:t>
      </w:r>
      <w:proofErr w:type="spellEnd"/>
      <w:r w:rsidRPr="00D16445">
        <w:rPr>
          <w:b/>
          <w:bCs/>
        </w:rPr>
        <w:t>:</w:t>
      </w:r>
      <w:r w:rsidRPr="00D16445">
        <w:t> </w:t>
      </w:r>
      <w:proofErr w:type="spellStart"/>
      <w:r w:rsidRPr="00D16445">
        <w:t>Although</w:t>
      </w:r>
      <w:proofErr w:type="spellEnd"/>
      <w:r w:rsidRPr="00D16445">
        <w:t xml:space="preserve"> a </w:t>
      </w:r>
      <w:proofErr w:type="spellStart"/>
      <w:r w:rsidRPr="00D16445">
        <w:t>lower</w:t>
      </w:r>
      <w:proofErr w:type="spellEnd"/>
      <w:r w:rsidRPr="00D16445">
        <w:t xml:space="preserve"> </w:t>
      </w:r>
      <w:proofErr w:type="spellStart"/>
      <w:r w:rsidRPr="00D16445">
        <w:t>frequency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diarrhea</w:t>
      </w:r>
      <w:proofErr w:type="spellEnd"/>
      <w:r w:rsidRPr="00D16445">
        <w:t xml:space="preserve"> CTC </w:t>
      </w:r>
      <w:proofErr w:type="spellStart"/>
      <w:r w:rsidRPr="00D16445">
        <w:t>grade</w:t>
      </w:r>
      <w:proofErr w:type="spellEnd"/>
      <w:r w:rsidRPr="00D16445">
        <w:t xml:space="preserve"> ≥2 </w:t>
      </w:r>
      <w:proofErr w:type="spellStart"/>
      <w:r w:rsidRPr="00D16445">
        <w:t>was</w:t>
      </w:r>
      <w:proofErr w:type="spellEnd"/>
      <w:r w:rsidRPr="00D16445">
        <w:t xml:space="preserve"> </w:t>
      </w:r>
      <w:proofErr w:type="spellStart"/>
      <w:r w:rsidRPr="00D16445">
        <w:t>observed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</w:t>
      </w:r>
      <w:proofErr w:type="spellStart"/>
      <w:r w:rsidRPr="00D16445">
        <w:t>elsiglutide</w:t>
      </w:r>
      <w:proofErr w:type="spellEnd"/>
      <w:r w:rsidRPr="00D16445">
        <w:t xml:space="preserve">, </w:t>
      </w:r>
      <w:proofErr w:type="spellStart"/>
      <w:r w:rsidRPr="00D16445">
        <w:t>this</w:t>
      </w:r>
      <w:proofErr w:type="spellEnd"/>
      <w:r w:rsidRPr="00D16445">
        <w:t xml:space="preserve"> </w:t>
      </w:r>
      <w:proofErr w:type="spellStart"/>
      <w:r w:rsidRPr="00D16445">
        <w:t>difference</w:t>
      </w:r>
      <w:proofErr w:type="spellEnd"/>
      <w:r w:rsidRPr="00D16445">
        <w:t xml:space="preserve"> </w:t>
      </w:r>
      <w:proofErr w:type="spellStart"/>
      <w:r w:rsidRPr="00D16445">
        <w:t>was</w:t>
      </w:r>
      <w:proofErr w:type="spellEnd"/>
      <w:r w:rsidRPr="00D16445">
        <w:t xml:space="preserve"> </w:t>
      </w:r>
      <w:proofErr w:type="spellStart"/>
      <w:r w:rsidRPr="00D16445">
        <w:t>not</w:t>
      </w:r>
      <w:proofErr w:type="spellEnd"/>
      <w:r w:rsidRPr="00D16445">
        <w:t xml:space="preserve"> </w:t>
      </w:r>
      <w:proofErr w:type="spellStart"/>
      <w:r w:rsidRPr="00D16445">
        <w:t>statistically</w:t>
      </w:r>
      <w:proofErr w:type="spellEnd"/>
      <w:r w:rsidRPr="00D16445">
        <w:t xml:space="preserve"> </w:t>
      </w:r>
      <w:proofErr w:type="spellStart"/>
      <w:r w:rsidRPr="00D16445">
        <w:t>significant</w:t>
      </w:r>
      <w:proofErr w:type="spellEnd"/>
      <w:r w:rsidRPr="00D16445">
        <w:t xml:space="preserve"> </w:t>
      </w:r>
      <w:proofErr w:type="spellStart"/>
      <w:r w:rsidRPr="00D16445">
        <w:t>in</w:t>
      </w:r>
      <w:proofErr w:type="spellEnd"/>
      <w:r w:rsidRPr="00D16445">
        <w:t xml:space="preserve"> </w:t>
      </w:r>
      <w:proofErr w:type="spellStart"/>
      <w:r w:rsidRPr="00D16445">
        <w:t>pts</w:t>
      </w:r>
      <w:proofErr w:type="spellEnd"/>
      <w:r w:rsidRPr="00D16445">
        <w:t xml:space="preserve"> </w:t>
      </w:r>
      <w:proofErr w:type="spellStart"/>
      <w:r w:rsidRPr="00D16445">
        <w:t>receiving</w:t>
      </w:r>
      <w:proofErr w:type="spellEnd"/>
      <w:r w:rsidRPr="00D16445">
        <w:t xml:space="preserve"> FOLFOX </w:t>
      </w:r>
      <w:proofErr w:type="spellStart"/>
      <w:r w:rsidRPr="00D16445">
        <w:t>or</w:t>
      </w:r>
      <w:proofErr w:type="spellEnd"/>
      <w:r w:rsidRPr="00D16445">
        <w:t xml:space="preserve"> FOLFIRI </w:t>
      </w:r>
      <w:proofErr w:type="spellStart"/>
      <w:r w:rsidRPr="00D16445">
        <w:t>for</w:t>
      </w:r>
      <w:proofErr w:type="spellEnd"/>
      <w:r w:rsidRPr="00D16445">
        <w:t xml:space="preserve"> CRC. </w:t>
      </w:r>
      <w:proofErr w:type="spellStart"/>
      <w:r w:rsidRPr="00D16445">
        <w:t>Interpretation</w:t>
      </w:r>
      <w:proofErr w:type="spellEnd"/>
      <w:r w:rsidRPr="00D16445">
        <w:t xml:space="preserve"> </w:t>
      </w:r>
      <w:proofErr w:type="spellStart"/>
      <w:r w:rsidRPr="00D16445">
        <w:t>must</w:t>
      </w:r>
      <w:proofErr w:type="spellEnd"/>
      <w:r w:rsidRPr="00D16445">
        <w:t xml:space="preserve"> </w:t>
      </w:r>
      <w:proofErr w:type="spellStart"/>
      <w:r w:rsidRPr="00D16445">
        <w:t>consider</w:t>
      </w:r>
      <w:proofErr w:type="spellEnd"/>
      <w:r w:rsidRPr="00D16445">
        <w:t xml:space="preserve"> </w:t>
      </w:r>
      <w:proofErr w:type="spellStart"/>
      <w:r w:rsidRPr="00D16445">
        <w:t>the</w:t>
      </w:r>
      <w:proofErr w:type="spellEnd"/>
      <w:r w:rsidRPr="00D16445">
        <w:t xml:space="preserve"> </w:t>
      </w:r>
      <w:proofErr w:type="spellStart"/>
      <w:r w:rsidRPr="00D16445">
        <w:t>unexpectedly</w:t>
      </w:r>
      <w:proofErr w:type="spellEnd"/>
      <w:r w:rsidRPr="00D16445">
        <w:t xml:space="preserve"> </w:t>
      </w:r>
      <w:proofErr w:type="spellStart"/>
      <w:r w:rsidRPr="00D16445">
        <w:t>low</w:t>
      </w:r>
      <w:proofErr w:type="spellEnd"/>
      <w:r w:rsidRPr="00D16445">
        <w:t xml:space="preserve"> </w:t>
      </w:r>
      <w:proofErr w:type="spellStart"/>
      <w:r w:rsidRPr="00D16445">
        <w:t>reported</w:t>
      </w:r>
      <w:proofErr w:type="spellEnd"/>
      <w:r w:rsidRPr="00D16445">
        <w:t xml:space="preserve"> </w:t>
      </w:r>
      <w:proofErr w:type="spellStart"/>
      <w:r w:rsidRPr="00D16445">
        <w:t>frequency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diarrhea</w:t>
      </w:r>
      <w:proofErr w:type="spellEnd"/>
      <w:r w:rsidRPr="00D16445">
        <w:t xml:space="preserve"> </w:t>
      </w:r>
      <w:proofErr w:type="spellStart"/>
      <w:r w:rsidRPr="00D16445">
        <w:t>of</w:t>
      </w:r>
      <w:proofErr w:type="spellEnd"/>
      <w:r w:rsidRPr="00D16445">
        <w:t xml:space="preserve"> </w:t>
      </w:r>
      <w:proofErr w:type="spellStart"/>
      <w:r w:rsidRPr="00D16445">
        <w:t>grade</w:t>
      </w:r>
      <w:proofErr w:type="spellEnd"/>
      <w:r w:rsidRPr="00D16445">
        <w:t xml:space="preserve"> ≥2, </w:t>
      </w:r>
      <w:proofErr w:type="spellStart"/>
      <w:r w:rsidRPr="00D16445">
        <w:t>particularly</w:t>
      </w:r>
      <w:proofErr w:type="spellEnd"/>
      <w:r w:rsidRPr="00D16445">
        <w:t xml:space="preserve"> </w:t>
      </w:r>
      <w:proofErr w:type="spellStart"/>
      <w:r w:rsidRPr="00D16445">
        <w:t>with</w:t>
      </w:r>
      <w:proofErr w:type="spellEnd"/>
      <w:r w:rsidRPr="00D16445">
        <w:t xml:space="preserve"> FOLFOX </w:t>
      </w:r>
      <w:proofErr w:type="spellStart"/>
      <w:r w:rsidRPr="00D16445">
        <w:t>regimens</w:t>
      </w:r>
      <w:proofErr w:type="spellEnd"/>
      <w:r w:rsidRPr="00D16445">
        <w:t>. </w:t>
      </w:r>
    </w:p>
    <w:p w:rsidR="008A2D0C" w:rsidRDefault="008A2D0C"/>
    <w:sectPr w:rsidR="008A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01C"/>
    <w:multiLevelType w:val="multilevel"/>
    <w:tmpl w:val="BED4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45"/>
    <w:rsid w:val="008A2D0C"/>
    <w:rsid w:val="00D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5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600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5081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Ref('A653224')" TargetMode="External"/><Relationship Id="rId13" Type="http://schemas.openxmlformats.org/officeDocument/2006/relationships/hyperlink" Target="javascript:popRef('A653253'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popRef('A653216')" TargetMode="External"/><Relationship Id="rId12" Type="http://schemas.openxmlformats.org/officeDocument/2006/relationships/hyperlink" Target="http://ascopubs.org/author/Giorgino%2C+Rub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scopubs.org/author/Karthaus%2C+Meinolf" TargetMode="External"/><Relationship Id="rId11" Type="http://schemas.openxmlformats.org/officeDocument/2006/relationships/hyperlink" Target="javascript:popRef('A653248'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popRef('A653236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popRef('A653231')" TargetMode="External"/><Relationship Id="rId14" Type="http://schemas.openxmlformats.org/officeDocument/2006/relationships/hyperlink" Target="http://ascopubs.org/doi/abs/10.1200/JCO.2017.35.15_suppl.1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2017-06-27T11:40:00Z</dcterms:created>
  <dcterms:modified xsi:type="dcterms:W3CDTF">2017-06-27T11:41:00Z</dcterms:modified>
</cp:coreProperties>
</file>