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AF" w:rsidRPr="003E27AF" w:rsidRDefault="003E27AF" w:rsidP="003E27AF">
      <w:pPr>
        <w:jc w:val="both"/>
        <w:rPr>
          <w:b/>
        </w:rPr>
      </w:pPr>
      <w:proofErr w:type="spellStart"/>
      <w:r w:rsidRPr="003E27AF">
        <w:rPr>
          <w:b/>
        </w:rPr>
        <w:t>Abstract</w:t>
      </w:r>
      <w:proofErr w:type="spellEnd"/>
      <w:r w:rsidRPr="003E27AF">
        <w:rPr>
          <w:b/>
        </w:rPr>
        <w:t xml:space="preserve"> S2-05: </w:t>
      </w:r>
      <w:proofErr w:type="spellStart"/>
      <w:r w:rsidRPr="003E27AF">
        <w:rPr>
          <w:b/>
        </w:rPr>
        <w:t>Efficacy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and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tolerability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of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veliparib</w:t>
      </w:r>
      <w:proofErr w:type="spellEnd"/>
      <w:r w:rsidRPr="003E27AF">
        <w:rPr>
          <w:b/>
        </w:rPr>
        <w:t xml:space="preserve"> (V; ABT-888) </w:t>
      </w:r>
      <w:proofErr w:type="spellStart"/>
      <w:r w:rsidRPr="003E27AF">
        <w:rPr>
          <w:b/>
        </w:rPr>
        <w:t>in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combination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with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carboplatin</w:t>
      </w:r>
      <w:proofErr w:type="spellEnd"/>
      <w:r w:rsidRPr="003E27AF">
        <w:rPr>
          <w:b/>
        </w:rPr>
        <w:t xml:space="preserve"> (C) </w:t>
      </w:r>
      <w:proofErr w:type="spellStart"/>
      <w:r w:rsidRPr="003E27AF">
        <w:rPr>
          <w:b/>
        </w:rPr>
        <w:t>and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paclitaxel</w:t>
      </w:r>
      <w:proofErr w:type="spellEnd"/>
      <w:r w:rsidRPr="003E27AF">
        <w:rPr>
          <w:b/>
        </w:rPr>
        <w:t xml:space="preserve"> (P) </w:t>
      </w:r>
      <w:proofErr w:type="spellStart"/>
      <w:r w:rsidRPr="003E27AF">
        <w:rPr>
          <w:b/>
        </w:rPr>
        <w:t>vs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placebo</w:t>
      </w:r>
      <w:proofErr w:type="spellEnd"/>
      <w:r w:rsidRPr="003E27AF">
        <w:rPr>
          <w:b/>
        </w:rPr>
        <w:t xml:space="preserve"> (</w:t>
      </w:r>
      <w:proofErr w:type="spellStart"/>
      <w:r w:rsidRPr="003E27AF">
        <w:rPr>
          <w:b/>
        </w:rPr>
        <w:t>Plc</w:t>
      </w:r>
      <w:proofErr w:type="spellEnd"/>
      <w:r w:rsidRPr="003E27AF">
        <w:rPr>
          <w:b/>
        </w:rPr>
        <w:t xml:space="preserve">)+C/P </w:t>
      </w:r>
      <w:proofErr w:type="spellStart"/>
      <w:r w:rsidRPr="003E27AF">
        <w:rPr>
          <w:b/>
        </w:rPr>
        <w:t>in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patients</w:t>
      </w:r>
      <w:proofErr w:type="spellEnd"/>
      <w:r w:rsidRPr="003E27AF">
        <w:rPr>
          <w:b/>
        </w:rPr>
        <w:t xml:space="preserve"> (</w:t>
      </w:r>
      <w:proofErr w:type="spellStart"/>
      <w:r w:rsidRPr="003E27AF">
        <w:rPr>
          <w:b/>
        </w:rPr>
        <w:t>pts</w:t>
      </w:r>
      <w:proofErr w:type="spellEnd"/>
      <w:r w:rsidRPr="003E27AF">
        <w:rPr>
          <w:b/>
        </w:rPr>
        <w:t xml:space="preserve">) </w:t>
      </w:r>
      <w:proofErr w:type="spellStart"/>
      <w:r w:rsidRPr="003E27AF">
        <w:rPr>
          <w:b/>
        </w:rPr>
        <w:t>with</w:t>
      </w:r>
      <w:proofErr w:type="spellEnd"/>
      <w:r w:rsidRPr="003E27AF">
        <w:rPr>
          <w:b/>
        </w:rPr>
        <w:t> </w:t>
      </w:r>
      <w:r w:rsidRPr="003E27AF">
        <w:rPr>
          <w:b/>
          <w:i/>
          <w:iCs/>
        </w:rPr>
        <w:t>BRCA1</w:t>
      </w:r>
      <w:r w:rsidRPr="003E27AF">
        <w:rPr>
          <w:b/>
        </w:rPr>
        <w:t> </w:t>
      </w:r>
      <w:proofErr w:type="spellStart"/>
      <w:r w:rsidRPr="003E27AF">
        <w:rPr>
          <w:b/>
        </w:rPr>
        <w:t>or</w:t>
      </w:r>
      <w:proofErr w:type="spellEnd"/>
      <w:r w:rsidRPr="003E27AF">
        <w:rPr>
          <w:b/>
        </w:rPr>
        <w:t> </w:t>
      </w:r>
      <w:r w:rsidRPr="003E27AF">
        <w:rPr>
          <w:b/>
          <w:i/>
          <w:iCs/>
        </w:rPr>
        <w:t>BRCA2</w:t>
      </w:r>
      <w:r w:rsidRPr="003E27AF">
        <w:rPr>
          <w:b/>
        </w:rPr>
        <w:t> </w:t>
      </w:r>
      <w:proofErr w:type="spellStart"/>
      <w:r w:rsidRPr="003E27AF">
        <w:rPr>
          <w:b/>
        </w:rPr>
        <w:t>mutations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and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metastatic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breast</w:t>
      </w:r>
      <w:proofErr w:type="spellEnd"/>
      <w:r w:rsidRPr="003E27AF">
        <w:rPr>
          <w:b/>
        </w:rPr>
        <w:t xml:space="preserve"> </w:t>
      </w:r>
      <w:proofErr w:type="spellStart"/>
      <w:r w:rsidRPr="003E27AF">
        <w:rPr>
          <w:b/>
        </w:rPr>
        <w:t>cancer</w:t>
      </w:r>
      <w:proofErr w:type="spellEnd"/>
      <w:r w:rsidRPr="003E27AF">
        <w:rPr>
          <w:b/>
        </w:rPr>
        <w:t xml:space="preserve">: A </w:t>
      </w:r>
      <w:proofErr w:type="spellStart"/>
      <w:r w:rsidRPr="003E27AF">
        <w:rPr>
          <w:b/>
        </w:rPr>
        <w:t>randomized</w:t>
      </w:r>
      <w:proofErr w:type="spellEnd"/>
      <w:r w:rsidRPr="003E27AF">
        <w:rPr>
          <w:b/>
        </w:rPr>
        <w:t xml:space="preserve">, </w:t>
      </w:r>
      <w:proofErr w:type="spellStart"/>
      <w:r w:rsidRPr="003E27AF">
        <w:rPr>
          <w:b/>
        </w:rPr>
        <w:t>phase</w:t>
      </w:r>
      <w:proofErr w:type="spellEnd"/>
      <w:r w:rsidRPr="003E27AF">
        <w:rPr>
          <w:b/>
        </w:rPr>
        <w:t xml:space="preserve"> 2 </w:t>
      </w:r>
      <w:proofErr w:type="spellStart"/>
      <w:r w:rsidRPr="003E27AF">
        <w:rPr>
          <w:b/>
        </w:rPr>
        <w:t>study</w:t>
      </w:r>
      <w:proofErr w:type="spellEnd"/>
    </w:p>
    <w:p w:rsidR="003E27AF" w:rsidRPr="003E27AF" w:rsidRDefault="003E27AF" w:rsidP="003E27AF">
      <w:pPr>
        <w:jc w:val="both"/>
      </w:pPr>
      <w:r w:rsidRPr="003E27AF">
        <w:t>HS Han, V Diéras, ME Robson, M Palácová, PK Marcom, A Jager, </w:t>
      </w:r>
      <w:r w:rsidRPr="003E27AF">
        <w:rPr>
          <w:b/>
        </w:rPr>
        <w:t>I Bondarenko</w:t>
      </w:r>
      <w:r w:rsidRPr="003E27AF">
        <w:t>, D Citrin, M Campone, ML Telli, SM Domchek, M Friedlander, B Kaufman, C Ratajczak, A Coates, P Bonnet, Q Qin, J Qian, VL Giranda, SP Shepherd, SJ Isakoff and S Puhalla</w:t>
      </w:r>
    </w:p>
    <w:p w:rsidR="003E27AF" w:rsidRPr="003E27AF" w:rsidRDefault="003E27AF" w:rsidP="003E27AF">
      <w:pPr>
        <w:jc w:val="both"/>
      </w:pPr>
      <w:r w:rsidRPr="003E27AF">
        <w:rPr>
          <w:b/>
          <w:bCs/>
        </w:rPr>
        <w:t>DOI:</w:t>
      </w:r>
      <w:r w:rsidRPr="003E27AF">
        <w:t> 10.1158/1538-7445.SABCS16-</w:t>
      </w:r>
      <w:bookmarkStart w:id="0" w:name="_GoBack"/>
      <w:bookmarkEnd w:id="0"/>
      <w:r w:rsidRPr="003E27AF">
        <w:t>S2-05 </w:t>
      </w:r>
      <w:proofErr w:type="spellStart"/>
      <w:r w:rsidRPr="003E27AF">
        <w:t>Published</w:t>
      </w:r>
      <w:proofErr w:type="spellEnd"/>
      <w:r w:rsidRPr="003E27AF">
        <w:t> </w:t>
      </w:r>
      <w:proofErr w:type="spellStart"/>
      <w:r w:rsidRPr="003E27AF">
        <w:t>February</w:t>
      </w:r>
      <w:proofErr w:type="spellEnd"/>
      <w:r w:rsidRPr="003E27AF">
        <w:t xml:space="preserve"> 2017</w:t>
      </w:r>
    </w:p>
    <w:p w:rsidR="003E27AF" w:rsidRPr="003E27AF" w:rsidRDefault="003E27AF" w:rsidP="003E27AF">
      <w:pPr>
        <w:jc w:val="both"/>
      </w:pPr>
      <w:proofErr w:type="spellStart"/>
      <w:r w:rsidRPr="003E27AF">
        <w:t>Abstracts</w:t>
      </w:r>
      <w:proofErr w:type="spellEnd"/>
      <w:r w:rsidRPr="003E27AF">
        <w:t xml:space="preserve">: 2016 </w:t>
      </w:r>
      <w:proofErr w:type="spellStart"/>
      <w:r w:rsidRPr="003E27AF">
        <w:t>San</w:t>
      </w:r>
      <w:proofErr w:type="spellEnd"/>
      <w:r w:rsidRPr="003E27AF">
        <w:t xml:space="preserve"> </w:t>
      </w:r>
      <w:proofErr w:type="spellStart"/>
      <w:r w:rsidRPr="003E27AF">
        <w:t>Antonio</w:t>
      </w:r>
      <w:proofErr w:type="spellEnd"/>
      <w:r w:rsidRPr="003E27AF">
        <w:t xml:space="preserve"> </w:t>
      </w:r>
      <w:proofErr w:type="spellStart"/>
      <w:r w:rsidRPr="003E27AF">
        <w:t>Breast</w:t>
      </w:r>
      <w:proofErr w:type="spellEnd"/>
      <w:r w:rsidRPr="003E27AF">
        <w:t xml:space="preserve"> </w:t>
      </w:r>
      <w:proofErr w:type="spellStart"/>
      <w:r w:rsidRPr="003E27AF">
        <w:t>Cancer</w:t>
      </w:r>
      <w:proofErr w:type="spellEnd"/>
      <w:r w:rsidRPr="003E27AF">
        <w:t xml:space="preserve"> </w:t>
      </w:r>
      <w:proofErr w:type="spellStart"/>
      <w:r w:rsidRPr="003E27AF">
        <w:t>Symposium</w:t>
      </w:r>
      <w:proofErr w:type="spellEnd"/>
      <w:r w:rsidRPr="003E27AF">
        <w:t xml:space="preserve">; </w:t>
      </w:r>
      <w:proofErr w:type="spellStart"/>
      <w:r w:rsidRPr="003E27AF">
        <w:t>December</w:t>
      </w:r>
      <w:proofErr w:type="spellEnd"/>
      <w:r w:rsidRPr="003E27AF">
        <w:t xml:space="preserve"> 6-10, 2016; </w:t>
      </w:r>
      <w:proofErr w:type="spellStart"/>
      <w:r w:rsidRPr="003E27AF">
        <w:t>San</w:t>
      </w:r>
      <w:proofErr w:type="spellEnd"/>
      <w:r w:rsidRPr="003E27AF">
        <w:t xml:space="preserve"> </w:t>
      </w:r>
      <w:proofErr w:type="spellStart"/>
      <w:r w:rsidRPr="003E27AF">
        <w:t>Antonio</w:t>
      </w:r>
      <w:proofErr w:type="spellEnd"/>
      <w:r w:rsidRPr="003E27AF">
        <w:t xml:space="preserve">, </w:t>
      </w:r>
      <w:proofErr w:type="spellStart"/>
      <w:r w:rsidRPr="003E27AF">
        <w:t>Texas</w:t>
      </w:r>
      <w:proofErr w:type="spellEnd"/>
    </w:p>
    <w:p w:rsidR="003E27AF" w:rsidRPr="003E27AF" w:rsidRDefault="003E27AF" w:rsidP="003E27AF">
      <w:pPr>
        <w:jc w:val="both"/>
        <w:rPr>
          <w:b/>
          <w:bCs/>
        </w:rPr>
      </w:pPr>
      <w:proofErr w:type="spellStart"/>
      <w:r w:rsidRPr="003E27AF">
        <w:rPr>
          <w:b/>
          <w:bCs/>
        </w:rPr>
        <w:t>Abstract</w:t>
      </w:r>
      <w:proofErr w:type="spellEnd"/>
    </w:p>
    <w:p w:rsidR="003E27AF" w:rsidRPr="003E27AF" w:rsidRDefault="003E27AF" w:rsidP="003E27AF">
      <w:pPr>
        <w:jc w:val="both"/>
      </w:pPr>
      <w:proofErr w:type="spellStart"/>
      <w:r w:rsidRPr="003E27AF">
        <w:rPr>
          <w:b/>
          <w:bCs/>
        </w:rPr>
        <w:t>Background</w:t>
      </w:r>
      <w:proofErr w:type="spellEnd"/>
      <w:r w:rsidRPr="003E27AF">
        <w:rPr>
          <w:b/>
          <w:bCs/>
        </w:rPr>
        <w:t>:</w:t>
      </w:r>
      <w:r w:rsidRPr="003E27AF">
        <w:t> </w:t>
      </w:r>
      <w:proofErr w:type="spellStart"/>
      <w:r w:rsidRPr="003E27AF">
        <w:t>Poly</w:t>
      </w:r>
      <w:proofErr w:type="spellEnd"/>
      <w:r w:rsidRPr="003E27AF">
        <w:t>(ADP-</w:t>
      </w:r>
      <w:proofErr w:type="spellStart"/>
      <w:r w:rsidRPr="003E27AF">
        <w:t>ribose</w:t>
      </w:r>
      <w:proofErr w:type="spellEnd"/>
      <w:r w:rsidRPr="003E27AF">
        <w:t xml:space="preserve">) </w:t>
      </w:r>
      <w:proofErr w:type="spellStart"/>
      <w:r w:rsidRPr="003E27AF">
        <w:t>polymerase</w:t>
      </w:r>
      <w:proofErr w:type="spellEnd"/>
      <w:r w:rsidRPr="003E27AF">
        <w:t xml:space="preserve"> (PARP) </w:t>
      </w:r>
      <w:proofErr w:type="spellStart"/>
      <w:r w:rsidRPr="003E27AF">
        <w:t>inhibitors</w:t>
      </w:r>
      <w:proofErr w:type="spellEnd"/>
      <w:r w:rsidRPr="003E27AF">
        <w:t xml:space="preserve"> </w:t>
      </w:r>
      <w:proofErr w:type="spellStart"/>
      <w:r w:rsidRPr="003E27AF">
        <w:t>block</w:t>
      </w:r>
      <w:proofErr w:type="spellEnd"/>
      <w:r w:rsidRPr="003E27AF">
        <w:t xml:space="preserve"> DNA </w:t>
      </w:r>
      <w:proofErr w:type="spellStart"/>
      <w:r w:rsidRPr="003E27AF">
        <w:t>damage</w:t>
      </w:r>
      <w:proofErr w:type="spellEnd"/>
      <w:r w:rsidRPr="003E27AF">
        <w:t xml:space="preserve"> </w:t>
      </w:r>
      <w:proofErr w:type="spellStart"/>
      <w:r w:rsidRPr="003E27AF">
        <w:t>repair</w:t>
      </w:r>
      <w:proofErr w:type="spellEnd"/>
      <w:r w:rsidRPr="003E27AF">
        <w:t xml:space="preserve">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may</w:t>
      </w:r>
      <w:proofErr w:type="spellEnd"/>
      <w:r w:rsidRPr="003E27AF">
        <w:t xml:space="preserve"> </w:t>
      </w:r>
      <w:proofErr w:type="spellStart"/>
      <w:r w:rsidRPr="003E27AF">
        <w:t>thereby</w:t>
      </w:r>
      <w:proofErr w:type="spellEnd"/>
      <w:r w:rsidRPr="003E27AF">
        <w:t xml:space="preserve"> </w:t>
      </w:r>
      <w:proofErr w:type="spellStart"/>
      <w:r w:rsidRPr="003E27AF">
        <w:t>enhance</w:t>
      </w:r>
      <w:proofErr w:type="spellEnd"/>
      <w:r w:rsidRPr="003E27AF">
        <w:t xml:space="preserve"> </w:t>
      </w:r>
      <w:proofErr w:type="spellStart"/>
      <w:r w:rsidRPr="003E27AF">
        <w:t>the</w:t>
      </w:r>
      <w:proofErr w:type="spellEnd"/>
      <w:r w:rsidRPr="003E27AF">
        <w:t xml:space="preserve"> </w:t>
      </w:r>
      <w:proofErr w:type="spellStart"/>
      <w:r w:rsidRPr="003E27AF">
        <w:t>clinical</w:t>
      </w:r>
      <w:proofErr w:type="spellEnd"/>
      <w:r w:rsidRPr="003E27AF">
        <w:t xml:space="preserve"> </w:t>
      </w:r>
      <w:proofErr w:type="spellStart"/>
      <w:r w:rsidRPr="003E27AF">
        <w:t>activity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DNA-</w:t>
      </w:r>
      <w:proofErr w:type="spellStart"/>
      <w:r w:rsidRPr="003E27AF">
        <w:t>damaging</w:t>
      </w:r>
      <w:proofErr w:type="spellEnd"/>
      <w:r w:rsidRPr="003E27AF">
        <w:t xml:space="preserve"> </w:t>
      </w:r>
      <w:proofErr w:type="spellStart"/>
      <w:r w:rsidRPr="003E27AF">
        <w:t>chemotherapy</w:t>
      </w:r>
      <w:proofErr w:type="spellEnd"/>
      <w:r w:rsidRPr="003E27AF">
        <w:t xml:space="preserve">. </w:t>
      </w:r>
      <w:proofErr w:type="spellStart"/>
      <w:r w:rsidRPr="003E27AF">
        <w:t>Homologous</w:t>
      </w:r>
      <w:proofErr w:type="spellEnd"/>
      <w:r w:rsidRPr="003E27AF">
        <w:t xml:space="preserve"> </w:t>
      </w:r>
      <w:proofErr w:type="spellStart"/>
      <w:r w:rsidRPr="003E27AF">
        <w:t>recombination</w:t>
      </w:r>
      <w:proofErr w:type="spellEnd"/>
      <w:r w:rsidRPr="003E27AF">
        <w:t xml:space="preserve"> </w:t>
      </w:r>
      <w:proofErr w:type="spellStart"/>
      <w:r w:rsidRPr="003E27AF">
        <w:t>is</w:t>
      </w:r>
      <w:proofErr w:type="spellEnd"/>
      <w:r w:rsidRPr="003E27AF">
        <w:t xml:space="preserve"> </w:t>
      </w:r>
      <w:proofErr w:type="spellStart"/>
      <w:r w:rsidRPr="003E27AF">
        <w:t>defective</w:t>
      </w:r>
      <w:proofErr w:type="spellEnd"/>
      <w:r w:rsidRPr="003E27AF">
        <w:t xml:space="preserve"> </w:t>
      </w:r>
      <w:proofErr w:type="spellStart"/>
      <w:r w:rsidRPr="003E27AF">
        <w:t>in</w:t>
      </w:r>
      <w:proofErr w:type="spellEnd"/>
      <w:r w:rsidRPr="003E27AF">
        <w:t> </w:t>
      </w:r>
      <w:r w:rsidRPr="003E27AF">
        <w:rPr>
          <w:i/>
          <w:iCs/>
        </w:rPr>
        <w:t>BRCA1/2</w:t>
      </w:r>
      <w:r w:rsidRPr="003E27AF">
        <w:t xml:space="preserve">-mutated </w:t>
      </w:r>
      <w:proofErr w:type="spellStart"/>
      <w:r w:rsidRPr="003E27AF">
        <w:t>tumors</w:t>
      </w:r>
      <w:proofErr w:type="spellEnd"/>
      <w:r w:rsidRPr="003E27AF">
        <w:t xml:space="preserve">, </w:t>
      </w:r>
      <w:proofErr w:type="spellStart"/>
      <w:r w:rsidRPr="003E27AF">
        <w:t>leading</w:t>
      </w:r>
      <w:proofErr w:type="spellEnd"/>
      <w:r w:rsidRPr="003E27AF">
        <w:t xml:space="preserve"> </w:t>
      </w:r>
      <w:proofErr w:type="spellStart"/>
      <w:r w:rsidRPr="003E27AF">
        <w:t>to</w:t>
      </w:r>
      <w:proofErr w:type="spellEnd"/>
      <w:r w:rsidRPr="003E27AF">
        <w:t xml:space="preserve"> </w:t>
      </w:r>
      <w:proofErr w:type="spellStart"/>
      <w:r w:rsidRPr="003E27AF">
        <w:t>more</w:t>
      </w:r>
      <w:proofErr w:type="spellEnd"/>
      <w:r w:rsidRPr="003E27AF">
        <w:t xml:space="preserve"> </w:t>
      </w:r>
      <w:proofErr w:type="spellStart"/>
      <w:r w:rsidRPr="003E27AF">
        <w:t>error-prone</w:t>
      </w:r>
      <w:proofErr w:type="spellEnd"/>
      <w:r w:rsidRPr="003E27AF">
        <w:t xml:space="preserve"> </w:t>
      </w:r>
      <w:proofErr w:type="spellStart"/>
      <w:r w:rsidRPr="003E27AF">
        <w:t>mechanisms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DNA </w:t>
      </w:r>
      <w:proofErr w:type="spellStart"/>
      <w:r w:rsidRPr="003E27AF">
        <w:t>repair</w:t>
      </w:r>
      <w:proofErr w:type="spellEnd"/>
      <w:r w:rsidRPr="003E27AF">
        <w:t xml:space="preserve">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increased</w:t>
      </w:r>
      <w:proofErr w:type="spellEnd"/>
      <w:r w:rsidRPr="003E27AF">
        <w:t xml:space="preserve"> </w:t>
      </w:r>
      <w:proofErr w:type="spellStart"/>
      <w:r w:rsidRPr="003E27AF">
        <w:t>sensitivity</w:t>
      </w:r>
      <w:proofErr w:type="spellEnd"/>
      <w:r w:rsidRPr="003E27AF">
        <w:t xml:space="preserve"> </w:t>
      </w:r>
      <w:proofErr w:type="spellStart"/>
      <w:r w:rsidRPr="003E27AF">
        <w:t>to</w:t>
      </w:r>
      <w:proofErr w:type="spellEnd"/>
      <w:r w:rsidRPr="003E27AF">
        <w:t xml:space="preserve"> PARP </w:t>
      </w:r>
      <w:proofErr w:type="spellStart"/>
      <w:r w:rsidRPr="003E27AF">
        <w:t>inhibition</w:t>
      </w:r>
      <w:proofErr w:type="spellEnd"/>
      <w:r w:rsidRPr="003E27AF">
        <w:t xml:space="preserve">. V </w:t>
      </w:r>
      <w:proofErr w:type="spellStart"/>
      <w:r w:rsidRPr="003E27AF">
        <w:t>is</w:t>
      </w:r>
      <w:proofErr w:type="spellEnd"/>
      <w:r w:rsidRPr="003E27AF">
        <w:t xml:space="preserve"> a </w:t>
      </w:r>
      <w:proofErr w:type="spellStart"/>
      <w:r w:rsidRPr="003E27AF">
        <w:t>potent</w:t>
      </w:r>
      <w:proofErr w:type="spellEnd"/>
      <w:r w:rsidRPr="003E27AF">
        <w:t xml:space="preserve"> PARP </w:t>
      </w:r>
      <w:proofErr w:type="spellStart"/>
      <w:r w:rsidRPr="003E27AF">
        <w:t>inhibitor</w:t>
      </w:r>
      <w:proofErr w:type="spellEnd"/>
      <w:r w:rsidRPr="003E27AF">
        <w:t xml:space="preserve"> </w:t>
      </w:r>
      <w:proofErr w:type="spellStart"/>
      <w:r w:rsidRPr="003E27AF">
        <w:t>that</w:t>
      </w:r>
      <w:proofErr w:type="spellEnd"/>
      <w:r w:rsidRPr="003E27AF">
        <w:t xml:space="preserve"> </w:t>
      </w:r>
      <w:proofErr w:type="spellStart"/>
      <w:r w:rsidRPr="003E27AF">
        <w:t>enhances</w:t>
      </w:r>
      <w:proofErr w:type="spellEnd"/>
      <w:r w:rsidRPr="003E27AF">
        <w:t xml:space="preserve"> </w:t>
      </w:r>
      <w:proofErr w:type="spellStart"/>
      <w:r w:rsidRPr="003E27AF">
        <w:t>the</w:t>
      </w:r>
      <w:proofErr w:type="spellEnd"/>
      <w:r w:rsidRPr="003E27AF">
        <w:t xml:space="preserve"> </w:t>
      </w:r>
      <w:proofErr w:type="spellStart"/>
      <w:r w:rsidRPr="003E27AF">
        <w:t>antitumor</w:t>
      </w:r>
      <w:proofErr w:type="spellEnd"/>
      <w:r w:rsidRPr="003E27AF">
        <w:t xml:space="preserve"> </w:t>
      </w:r>
      <w:proofErr w:type="spellStart"/>
      <w:r w:rsidRPr="003E27AF">
        <w:t>activity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</w:t>
      </w:r>
      <w:proofErr w:type="spellStart"/>
      <w:r w:rsidRPr="003E27AF">
        <w:t>platinum</w:t>
      </w:r>
      <w:proofErr w:type="spellEnd"/>
      <w:r w:rsidRPr="003E27AF">
        <w:t xml:space="preserve"> </w:t>
      </w:r>
      <w:proofErr w:type="spellStart"/>
      <w:r w:rsidRPr="003E27AF">
        <w:t>agents</w:t>
      </w:r>
      <w:proofErr w:type="spellEnd"/>
      <w:r w:rsidRPr="003E27AF">
        <w:t xml:space="preserve"> </w:t>
      </w:r>
      <w:proofErr w:type="spellStart"/>
      <w:r w:rsidRPr="003E27AF">
        <w:t>in</w:t>
      </w:r>
      <w:proofErr w:type="spellEnd"/>
      <w:r w:rsidRPr="003E27AF">
        <w:t xml:space="preserve"> </w:t>
      </w:r>
      <w:proofErr w:type="spellStart"/>
      <w:r w:rsidRPr="003E27AF">
        <w:t>preclinical</w:t>
      </w:r>
      <w:proofErr w:type="spellEnd"/>
      <w:r w:rsidRPr="003E27AF">
        <w:t xml:space="preserve"> </w:t>
      </w:r>
      <w:proofErr w:type="spellStart"/>
      <w:r w:rsidRPr="003E27AF">
        <w:t>models</w:t>
      </w:r>
      <w:proofErr w:type="spellEnd"/>
      <w:r w:rsidRPr="003E27AF">
        <w:t xml:space="preserve">. </w:t>
      </w:r>
      <w:proofErr w:type="spellStart"/>
      <w:r w:rsidRPr="003E27AF">
        <w:t>This</w:t>
      </w:r>
      <w:proofErr w:type="spellEnd"/>
      <w:r w:rsidRPr="003E27AF">
        <w:t xml:space="preserve"> </w:t>
      </w:r>
      <w:proofErr w:type="spellStart"/>
      <w:r w:rsidRPr="003E27AF">
        <w:t>phase</w:t>
      </w:r>
      <w:proofErr w:type="spellEnd"/>
      <w:r w:rsidRPr="003E27AF">
        <w:t xml:space="preserve"> 2 </w:t>
      </w:r>
      <w:proofErr w:type="spellStart"/>
      <w:r w:rsidRPr="003E27AF">
        <w:t>trial</w:t>
      </w:r>
      <w:proofErr w:type="spellEnd"/>
      <w:r w:rsidRPr="003E27AF">
        <w:t xml:space="preserve"> (</w:t>
      </w:r>
      <w:hyperlink r:id="rId6" w:history="1">
        <w:r w:rsidRPr="003E27AF">
          <w:rPr>
            <w:rStyle w:val="a3"/>
          </w:rPr>
          <w:t>NCT01506609</w:t>
        </w:r>
      </w:hyperlink>
      <w:r w:rsidRPr="003E27AF">
        <w:t xml:space="preserve">) </w:t>
      </w:r>
      <w:proofErr w:type="spellStart"/>
      <w:r w:rsidRPr="003E27AF">
        <w:t>investigated</w:t>
      </w:r>
      <w:proofErr w:type="spellEnd"/>
      <w:r w:rsidRPr="003E27AF">
        <w:t xml:space="preserve"> </w:t>
      </w:r>
      <w:proofErr w:type="spellStart"/>
      <w:r w:rsidRPr="003E27AF">
        <w:t>the</w:t>
      </w:r>
      <w:proofErr w:type="spellEnd"/>
      <w:r w:rsidRPr="003E27AF">
        <w:t xml:space="preserve"> </w:t>
      </w:r>
      <w:proofErr w:type="spellStart"/>
      <w:r w:rsidRPr="003E27AF">
        <w:t>safety</w:t>
      </w:r>
      <w:proofErr w:type="spellEnd"/>
      <w:r w:rsidRPr="003E27AF">
        <w:t xml:space="preserve">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efficacy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V+C/P </w:t>
      </w:r>
      <w:proofErr w:type="spellStart"/>
      <w:r w:rsidRPr="003E27AF">
        <w:t>or</w:t>
      </w:r>
      <w:proofErr w:type="spellEnd"/>
      <w:r w:rsidRPr="003E27AF">
        <w:t xml:space="preserve"> V+ </w:t>
      </w:r>
      <w:proofErr w:type="spellStart"/>
      <w:r w:rsidRPr="003E27AF">
        <w:t>temozolomide</w:t>
      </w:r>
      <w:proofErr w:type="spellEnd"/>
      <w:r w:rsidRPr="003E27AF">
        <w:t xml:space="preserve"> (TMZ) </w:t>
      </w:r>
      <w:proofErr w:type="spellStart"/>
      <w:r w:rsidRPr="003E27AF">
        <w:t>vs</w:t>
      </w:r>
      <w:proofErr w:type="spellEnd"/>
      <w:r w:rsidRPr="003E27AF">
        <w:t xml:space="preserve"> </w:t>
      </w:r>
      <w:proofErr w:type="spellStart"/>
      <w:r w:rsidRPr="003E27AF">
        <w:t>Plc+C</w:t>
      </w:r>
      <w:proofErr w:type="spellEnd"/>
      <w:r w:rsidRPr="003E27AF">
        <w:t xml:space="preserve">/P </w:t>
      </w:r>
      <w:proofErr w:type="spellStart"/>
      <w:r w:rsidRPr="003E27AF">
        <w:t>in</w:t>
      </w:r>
      <w:proofErr w:type="spellEnd"/>
      <w:r w:rsidRPr="003E27AF">
        <w:t xml:space="preserve"> </w:t>
      </w:r>
      <w:proofErr w:type="spellStart"/>
      <w:r w:rsidRPr="003E27AF">
        <w:t>pts</w:t>
      </w:r>
      <w:proofErr w:type="spellEnd"/>
      <w:r w:rsidRPr="003E27AF">
        <w:t xml:space="preserve"> </w:t>
      </w:r>
      <w:proofErr w:type="spellStart"/>
      <w:r w:rsidRPr="003E27AF">
        <w:t>with</w:t>
      </w:r>
      <w:proofErr w:type="spellEnd"/>
      <w:r w:rsidRPr="003E27AF">
        <w:t xml:space="preserve"> </w:t>
      </w:r>
      <w:proofErr w:type="spellStart"/>
      <w:r w:rsidRPr="003E27AF">
        <w:t>locally</w:t>
      </w:r>
      <w:proofErr w:type="spellEnd"/>
      <w:r w:rsidRPr="003E27AF">
        <w:t xml:space="preserve"> </w:t>
      </w:r>
      <w:proofErr w:type="spellStart"/>
      <w:r w:rsidRPr="003E27AF">
        <w:t>recurrent</w:t>
      </w:r>
      <w:proofErr w:type="spellEnd"/>
      <w:r w:rsidRPr="003E27AF">
        <w:t xml:space="preserve"> </w:t>
      </w:r>
      <w:proofErr w:type="spellStart"/>
      <w:r w:rsidRPr="003E27AF">
        <w:t>or</w:t>
      </w:r>
      <w:proofErr w:type="spellEnd"/>
      <w:r w:rsidRPr="003E27AF">
        <w:t xml:space="preserve"> </w:t>
      </w:r>
      <w:proofErr w:type="spellStart"/>
      <w:r w:rsidRPr="003E27AF">
        <w:t>metastatic</w:t>
      </w:r>
      <w:proofErr w:type="spellEnd"/>
      <w:r w:rsidRPr="003E27AF">
        <w:t xml:space="preserve"> </w:t>
      </w:r>
      <w:proofErr w:type="spellStart"/>
      <w:r w:rsidRPr="003E27AF">
        <w:t>breast</w:t>
      </w:r>
      <w:proofErr w:type="spellEnd"/>
      <w:r w:rsidRPr="003E27AF">
        <w:t xml:space="preserve"> </w:t>
      </w:r>
      <w:proofErr w:type="spellStart"/>
      <w:r w:rsidRPr="003E27AF">
        <w:t>cancer</w:t>
      </w:r>
      <w:proofErr w:type="spellEnd"/>
      <w:r w:rsidRPr="003E27AF">
        <w:t xml:space="preserve"> </w:t>
      </w:r>
      <w:proofErr w:type="spellStart"/>
      <w:r w:rsidRPr="003E27AF">
        <w:t>harboring</w:t>
      </w:r>
      <w:proofErr w:type="spellEnd"/>
      <w:r w:rsidRPr="003E27AF">
        <w:t xml:space="preserve"> a </w:t>
      </w:r>
      <w:r w:rsidRPr="003E27AF">
        <w:rPr>
          <w:i/>
          <w:iCs/>
        </w:rPr>
        <w:t>BRCA1</w:t>
      </w:r>
      <w:r w:rsidRPr="003E27AF">
        <w:t> </w:t>
      </w:r>
      <w:proofErr w:type="spellStart"/>
      <w:r w:rsidRPr="003E27AF">
        <w:t>or</w:t>
      </w:r>
      <w:proofErr w:type="spellEnd"/>
      <w:r w:rsidRPr="003E27AF">
        <w:t> </w:t>
      </w:r>
      <w:r w:rsidRPr="003E27AF">
        <w:rPr>
          <w:i/>
          <w:iCs/>
        </w:rPr>
        <w:t>BRCA2</w:t>
      </w:r>
      <w:r w:rsidRPr="003E27AF">
        <w:t> </w:t>
      </w:r>
      <w:proofErr w:type="spellStart"/>
      <w:r w:rsidRPr="003E27AF">
        <w:t>mutation</w:t>
      </w:r>
      <w:proofErr w:type="spellEnd"/>
      <w:r w:rsidRPr="003E27AF">
        <w:t xml:space="preserve">. </w:t>
      </w:r>
      <w:proofErr w:type="spellStart"/>
      <w:r w:rsidRPr="003E27AF">
        <w:t>Results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</w:t>
      </w:r>
      <w:proofErr w:type="spellStart"/>
      <w:r w:rsidRPr="003E27AF">
        <w:t>the</w:t>
      </w:r>
      <w:proofErr w:type="spellEnd"/>
      <w:r w:rsidRPr="003E27AF">
        <w:t xml:space="preserve"> V+C/P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Plc+C</w:t>
      </w:r>
      <w:proofErr w:type="spellEnd"/>
      <w:r w:rsidRPr="003E27AF">
        <w:t xml:space="preserve">/P </w:t>
      </w:r>
      <w:proofErr w:type="spellStart"/>
      <w:r w:rsidRPr="003E27AF">
        <w:t>arms</w:t>
      </w:r>
      <w:proofErr w:type="spellEnd"/>
      <w:r w:rsidRPr="003E27AF">
        <w:t xml:space="preserve"> </w:t>
      </w:r>
      <w:proofErr w:type="spellStart"/>
      <w:r w:rsidRPr="003E27AF">
        <w:t>are</w:t>
      </w:r>
      <w:proofErr w:type="spellEnd"/>
      <w:r w:rsidRPr="003E27AF">
        <w:t xml:space="preserve"> </w:t>
      </w:r>
      <w:proofErr w:type="spellStart"/>
      <w:r w:rsidRPr="003E27AF">
        <w:t>presented</w:t>
      </w:r>
      <w:proofErr w:type="spellEnd"/>
      <w:r w:rsidRPr="003E27AF">
        <w:t xml:space="preserve">; V+TMZ </w:t>
      </w:r>
      <w:proofErr w:type="spellStart"/>
      <w:r w:rsidRPr="003E27AF">
        <w:t>results</w:t>
      </w:r>
      <w:proofErr w:type="spellEnd"/>
      <w:r w:rsidRPr="003E27AF">
        <w:t xml:space="preserve"> </w:t>
      </w:r>
      <w:proofErr w:type="spellStart"/>
      <w:r w:rsidRPr="003E27AF">
        <w:t>will</w:t>
      </w:r>
      <w:proofErr w:type="spellEnd"/>
      <w:r w:rsidRPr="003E27AF">
        <w:t xml:space="preserve"> </w:t>
      </w:r>
      <w:proofErr w:type="spellStart"/>
      <w:r w:rsidRPr="003E27AF">
        <w:t>be</w:t>
      </w:r>
      <w:proofErr w:type="spellEnd"/>
      <w:r w:rsidRPr="003E27AF">
        <w:t xml:space="preserve"> </w:t>
      </w:r>
      <w:proofErr w:type="spellStart"/>
      <w:r w:rsidRPr="003E27AF">
        <w:t>presented</w:t>
      </w:r>
      <w:proofErr w:type="spellEnd"/>
      <w:r w:rsidRPr="003E27AF">
        <w:t xml:space="preserve"> </w:t>
      </w:r>
      <w:proofErr w:type="spellStart"/>
      <w:r w:rsidRPr="003E27AF">
        <w:t>separately</w:t>
      </w:r>
      <w:proofErr w:type="spellEnd"/>
      <w:r w:rsidRPr="003E27AF">
        <w:t>.</w:t>
      </w:r>
    </w:p>
    <w:p w:rsidR="003E27AF" w:rsidRPr="003E27AF" w:rsidRDefault="003E27AF" w:rsidP="003E27AF">
      <w:pPr>
        <w:jc w:val="both"/>
      </w:pPr>
      <w:proofErr w:type="spellStart"/>
      <w:r w:rsidRPr="003E27AF">
        <w:rPr>
          <w:b/>
          <w:bCs/>
        </w:rPr>
        <w:t>Methods</w:t>
      </w:r>
      <w:proofErr w:type="spellEnd"/>
      <w:r w:rsidRPr="003E27AF">
        <w:rPr>
          <w:b/>
          <w:bCs/>
        </w:rPr>
        <w:t>:</w:t>
      </w:r>
      <w:r w:rsidRPr="003E27AF">
        <w:t> </w:t>
      </w:r>
      <w:proofErr w:type="spellStart"/>
      <w:proofErr w:type="gramStart"/>
      <w:r w:rsidRPr="003E27AF">
        <w:t>Pts</w:t>
      </w:r>
      <w:proofErr w:type="spellEnd"/>
      <w:r w:rsidRPr="003E27AF">
        <w:t xml:space="preserve"> ≥18 </w:t>
      </w:r>
      <w:proofErr w:type="spellStart"/>
      <w:r w:rsidRPr="003E27AF">
        <w:t>years</w:t>
      </w:r>
      <w:proofErr w:type="spellEnd"/>
      <w:r w:rsidRPr="003E27AF">
        <w:t xml:space="preserve"> </w:t>
      </w:r>
      <w:proofErr w:type="spellStart"/>
      <w:r w:rsidRPr="003E27AF">
        <w:t>with</w:t>
      </w:r>
      <w:proofErr w:type="spellEnd"/>
      <w:r w:rsidRPr="003E27AF">
        <w:t xml:space="preserve"> </w:t>
      </w:r>
      <w:proofErr w:type="spellStart"/>
      <w:r w:rsidRPr="003E27AF">
        <w:t>histologically</w:t>
      </w:r>
      <w:proofErr w:type="spellEnd"/>
      <w:r w:rsidRPr="003E27AF">
        <w:t xml:space="preserve"> </w:t>
      </w:r>
      <w:proofErr w:type="spellStart"/>
      <w:r w:rsidRPr="003E27AF">
        <w:t>confirmed</w:t>
      </w:r>
      <w:proofErr w:type="spellEnd"/>
      <w:r w:rsidRPr="003E27AF">
        <w:t xml:space="preserve"> </w:t>
      </w:r>
      <w:proofErr w:type="spellStart"/>
      <w:r w:rsidRPr="003E27AF">
        <w:t>locally</w:t>
      </w:r>
      <w:proofErr w:type="spellEnd"/>
      <w:r w:rsidRPr="003E27AF">
        <w:t xml:space="preserve"> </w:t>
      </w:r>
      <w:proofErr w:type="spellStart"/>
      <w:r w:rsidRPr="003E27AF">
        <w:t>recurrent</w:t>
      </w:r>
      <w:proofErr w:type="spellEnd"/>
      <w:r w:rsidRPr="003E27AF">
        <w:t xml:space="preserve"> </w:t>
      </w:r>
      <w:proofErr w:type="spellStart"/>
      <w:r w:rsidRPr="003E27AF">
        <w:t>or</w:t>
      </w:r>
      <w:proofErr w:type="spellEnd"/>
      <w:r w:rsidRPr="003E27AF">
        <w:t xml:space="preserve"> </w:t>
      </w:r>
      <w:proofErr w:type="spellStart"/>
      <w:r w:rsidRPr="003E27AF">
        <w:t>metastatic</w:t>
      </w:r>
      <w:proofErr w:type="spellEnd"/>
      <w:r w:rsidRPr="003E27AF">
        <w:t xml:space="preserve"> </w:t>
      </w:r>
      <w:proofErr w:type="spellStart"/>
      <w:r w:rsidRPr="003E27AF">
        <w:t>breast</w:t>
      </w:r>
      <w:proofErr w:type="spellEnd"/>
      <w:r w:rsidRPr="003E27AF">
        <w:t xml:space="preserve"> </w:t>
      </w:r>
      <w:proofErr w:type="spellStart"/>
      <w:r w:rsidRPr="003E27AF">
        <w:t>cancer</w:t>
      </w:r>
      <w:proofErr w:type="spellEnd"/>
      <w:r w:rsidRPr="003E27AF">
        <w:t xml:space="preserve"> </w:t>
      </w:r>
      <w:proofErr w:type="spellStart"/>
      <w:r w:rsidRPr="003E27AF">
        <w:t>were</w:t>
      </w:r>
      <w:proofErr w:type="spellEnd"/>
      <w:r w:rsidRPr="003E27AF">
        <w:t xml:space="preserve"> </w:t>
      </w:r>
      <w:proofErr w:type="spellStart"/>
      <w:r w:rsidRPr="003E27AF">
        <w:t>randomized</w:t>
      </w:r>
      <w:proofErr w:type="spellEnd"/>
      <w:r w:rsidRPr="003E27AF">
        <w:t xml:space="preserve"> 1:1:1 </w:t>
      </w:r>
      <w:proofErr w:type="spellStart"/>
      <w:r w:rsidRPr="003E27AF">
        <w:t>to</w:t>
      </w:r>
      <w:proofErr w:type="spellEnd"/>
      <w:r w:rsidRPr="003E27AF">
        <w:t xml:space="preserve">: 1) V 40 </w:t>
      </w:r>
      <w:proofErr w:type="spellStart"/>
      <w:r w:rsidRPr="003E27AF">
        <w:t>mg</w:t>
      </w:r>
      <w:proofErr w:type="spellEnd"/>
      <w:r w:rsidRPr="003E27AF">
        <w:t xml:space="preserve"> BID D1–7+TMZ, 28-D </w:t>
      </w:r>
      <w:proofErr w:type="spellStart"/>
      <w:r w:rsidRPr="003E27AF">
        <w:t>cycle</w:t>
      </w:r>
      <w:proofErr w:type="spellEnd"/>
      <w:r w:rsidRPr="003E27AF">
        <w:t xml:space="preserve">; 2) V 120 </w:t>
      </w:r>
      <w:proofErr w:type="spellStart"/>
      <w:r w:rsidRPr="003E27AF">
        <w:t>mg</w:t>
      </w:r>
      <w:proofErr w:type="spellEnd"/>
      <w:r w:rsidRPr="003E27AF">
        <w:t xml:space="preserve"> BID D1–7+C AUC 6, D3 </w:t>
      </w:r>
      <w:proofErr w:type="spellStart"/>
      <w:r w:rsidRPr="003E27AF">
        <w:t>and</w:t>
      </w:r>
      <w:proofErr w:type="spellEnd"/>
      <w:r w:rsidRPr="003E27AF">
        <w:t xml:space="preserve"> P 175 </w:t>
      </w:r>
      <w:proofErr w:type="spellStart"/>
      <w:r w:rsidRPr="003E27AF">
        <w:t>mg</w:t>
      </w:r>
      <w:proofErr w:type="spellEnd"/>
      <w:r w:rsidRPr="003E27AF">
        <w:t>/m</w:t>
      </w:r>
      <w:r w:rsidRPr="003E27AF">
        <w:rPr>
          <w:vertAlign w:val="superscript"/>
        </w:rPr>
        <w:t>2</w:t>
      </w:r>
      <w:r w:rsidRPr="003E27AF">
        <w:t xml:space="preserve">, D3, 21-D </w:t>
      </w:r>
      <w:proofErr w:type="spellStart"/>
      <w:r w:rsidRPr="003E27AF">
        <w:t>cycle</w:t>
      </w:r>
      <w:proofErr w:type="spellEnd"/>
      <w:r w:rsidRPr="003E27AF">
        <w:t xml:space="preserve">; </w:t>
      </w:r>
      <w:proofErr w:type="spellStart"/>
      <w:r w:rsidRPr="003E27AF">
        <w:t>or</w:t>
      </w:r>
      <w:proofErr w:type="spellEnd"/>
      <w:r w:rsidRPr="003E27AF">
        <w:t xml:space="preserve"> 3) </w:t>
      </w:r>
      <w:proofErr w:type="spellStart"/>
      <w:r w:rsidRPr="003E27AF">
        <w:t>Plc</w:t>
      </w:r>
      <w:proofErr w:type="spellEnd"/>
      <w:r w:rsidRPr="003E27AF">
        <w:t xml:space="preserve"> BID D1–7+C/P.</w:t>
      </w:r>
      <w:proofErr w:type="gramEnd"/>
      <w:r w:rsidRPr="003E27AF">
        <w:t xml:space="preserve"> </w:t>
      </w:r>
      <w:proofErr w:type="spellStart"/>
      <w:r w:rsidRPr="003E27AF">
        <w:t>Key</w:t>
      </w:r>
      <w:proofErr w:type="spellEnd"/>
      <w:r w:rsidRPr="003E27AF">
        <w:t xml:space="preserve"> </w:t>
      </w:r>
      <w:proofErr w:type="spellStart"/>
      <w:r w:rsidRPr="003E27AF">
        <w:t>eligibility</w:t>
      </w:r>
      <w:proofErr w:type="spellEnd"/>
      <w:r w:rsidRPr="003E27AF">
        <w:t xml:space="preserve"> </w:t>
      </w:r>
      <w:proofErr w:type="spellStart"/>
      <w:r w:rsidRPr="003E27AF">
        <w:t>criteria</w:t>
      </w:r>
      <w:proofErr w:type="spellEnd"/>
      <w:r w:rsidRPr="003E27AF">
        <w:t xml:space="preserve"> </w:t>
      </w:r>
      <w:proofErr w:type="spellStart"/>
      <w:r w:rsidRPr="003E27AF">
        <w:t>included</w:t>
      </w:r>
      <w:proofErr w:type="spellEnd"/>
      <w:r w:rsidRPr="003E27AF">
        <w:t xml:space="preserve"> </w:t>
      </w:r>
      <w:proofErr w:type="spellStart"/>
      <w:r w:rsidRPr="003E27AF">
        <w:t>deleterious</w:t>
      </w:r>
      <w:proofErr w:type="spellEnd"/>
      <w:r w:rsidRPr="003E27AF">
        <w:t> </w:t>
      </w:r>
      <w:r w:rsidRPr="003E27AF">
        <w:rPr>
          <w:i/>
          <w:iCs/>
        </w:rPr>
        <w:t>BRCA1/2</w:t>
      </w:r>
      <w:r w:rsidRPr="003E27AF">
        <w:t> </w:t>
      </w:r>
      <w:proofErr w:type="spellStart"/>
      <w:r w:rsidRPr="003E27AF">
        <w:t>mutation</w:t>
      </w:r>
      <w:proofErr w:type="spellEnd"/>
      <w:r w:rsidRPr="003E27AF">
        <w:t xml:space="preserve">, ≤2 </w:t>
      </w:r>
      <w:proofErr w:type="spellStart"/>
      <w:r w:rsidRPr="003E27AF">
        <w:t>prior</w:t>
      </w:r>
      <w:proofErr w:type="spellEnd"/>
      <w:r w:rsidRPr="003E27AF">
        <w:t xml:space="preserve"> </w:t>
      </w:r>
      <w:proofErr w:type="spellStart"/>
      <w:r w:rsidRPr="003E27AF">
        <w:t>chemotherapies</w:t>
      </w:r>
      <w:proofErr w:type="spellEnd"/>
      <w:r w:rsidRPr="003E27AF">
        <w:t xml:space="preserve"> </w:t>
      </w:r>
      <w:proofErr w:type="spellStart"/>
      <w:r w:rsidRPr="003E27AF">
        <w:t>for</w:t>
      </w:r>
      <w:proofErr w:type="spellEnd"/>
      <w:r w:rsidRPr="003E27AF">
        <w:t xml:space="preserve"> </w:t>
      </w:r>
      <w:proofErr w:type="spellStart"/>
      <w:r w:rsidRPr="003E27AF">
        <w:t>metastatic</w:t>
      </w:r>
      <w:proofErr w:type="spellEnd"/>
      <w:r w:rsidRPr="003E27AF">
        <w:t xml:space="preserve"> </w:t>
      </w:r>
      <w:proofErr w:type="spellStart"/>
      <w:r w:rsidRPr="003E27AF">
        <w:t>disease</w:t>
      </w:r>
      <w:proofErr w:type="spellEnd"/>
      <w:r w:rsidRPr="003E27AF">
        <w:t xml:space="preserve">, </w:t>
      </w:r>
      <w:proofErr w:type="spellStart"/>
      <w:r w:rsidRPr="003E27AF">
        <w:t>no</w:t>
      </w:r>
      <w:proofErr w:type="spellEnd"/>
      <w:r w:rsidRPr="003E27AF">
        <w:t xml:space="preserve"> </w:t>
      </w:r>
      <w:proofErr w:type="spellStart"/>
      <w:r w:rsidRPr="003E27AF">
        <w:t>prior</w:t>
      </w:r>
      <w:proofErr w:type="spellEnd"/>
      <w:r w:rsidRPr="003E27AF">
        <w:t xml:space="preserve"> </w:t>
      </w:r>
      <w:proofErr w:type="spellStart"/>
      <w:r w:rsidRPr="003E27AF">
        <w:t>platinum</w:t>
      </w:r>
      <w:proofErr w:type="spellEnd"/>
      <w:r w:rsidRPr="003E27AF">
        <w:t xml:space="preserve"> </w:t>
      </w:r>
      <w:proofErr w:type="spellStart"/>
      <w:r w:rsidRPr="003E27AF">
        <w:t>agent</w:t>
      </w:r>
      <w:proofErr w:type="spellEnd"/>
      <w:r w:rsidRPr="003E27AF">
        <w:t xml:space="preserve">,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no</w:t>
      </w:r>
      <w:proofErr w:type="spellEnd"/>
      <w:r w:rsidRPr="003E27AF">
        <w:t xml:space="preserve"> CNS </w:t>
      </w:r>
      <w:proofErr w:type="spellStart"/>
      <w:r w:rsidRPr="003E27AF">
        <w:t>metastases</w:t>
      </w:r>
      <w:proofErr w:type="spellEnd"/>
      <w:r w:rsidRPr="003E27AF">
        <w:t xml:space="preserve">. </w:t>
      </w:r>
      <w:proofErr w:type="spellStart"/>
      <w:r w:rsidRPr="003E27AF">
        <w:t>Randomization</w:t>
      </w:r>
      <w:proofErr w:type="spellEnd"/>
      <w:r w:rsidRPr="003E27AF">
        <w:t xml:space="preserve"> </w:t>
      </w:r>
      <w:proofErr w:type="spellStart"/>
      <w:r w:rsidRPr="003E27AF">
        <w:t>was</w:t>
      </w:r>
      <w:proofErr w:type="spellEnd"/>
      <w:r w:rsidRPr="003E27AF">
        <w:t xml:space="preserve"> </w:t>
      </w:r>
      <w:proofErr w:type="spellStart"/>
      <w:r w:rsidRPr="003E27AF">
        <w:t>stratified</w:t>
      </w:r>
      <w:proofErr w:type="spellEnd"/>
      <w:r w:rsidRPr="003E27AF">
        <w:t xml:space="preserve"> </w:t>
      </w:r>
      <w:proofErr w:type="spellStart"/>
      <w:r w:rsidRPr="003E27AF">
        <w:t>by</w:t>
      </w:r>
      <w:proofErr w:type="spellEnd"/>
      <w:r w:rsidRPr="003E27AF">
        <w:t xml:space="preserve"> </w:t>
      </w:r>
      <w:proofErr w:type="spellStart"/>
      <w:r w:rsidRPr="003E27AF">
        <w:t>hormone</w:t>
      </w:r>
      <w:proofErr w:type="spellEnd"/>
      <w:r w:rsidRPr="003E27AF">
        <w:t xml:space="preserve"> </w:t>
      </w:r>
      <w:proofErr w:type="spellStart"/>
      <w:r w:rsidRPr="003E27AF">
        <w:t>receptor</w:t>
      </w:r>
      <w:proofErr w:type="spellEnd"/>
      <w:r w:rsidRPr="003E27AF">
        <w:t xml:space="preserve"> </w:t>
      </w:r>
      <w:proofErr w:type="spellStart"/>
      <w:r w:rsidRPr="003E27AF">
        <w:t>status</w:t>
      </w:r>
      <w:proofErr w:type="spellEnd"/>
      <w:r w:rsidRPr="003E27AF">
        <w:t xml:space="preserve">, </w:t>
      </w:r>
      <w:proofErr w:type="spellStart"/>
      <w:r w:rsidRPr="003E27AF">
        <w:t>prior</w:t>
      </w:r>
      <w:proofErr w:type="spellEnd"/>
      <w:r w:rsidRPr="003E27AF">
        <w:t xml:space="preserve"> </w:t>
      </w:r>
      <w:proofErr w:type="spellStart"/>
      <w:r w:rsidRPr="003E27AF">
        <w:t>cytotoxic</w:t>
      </w:r>
      <w:proofErr w:type="spellEnd"/>
      <w:r w:rsidRPr="003E27AF">
        <w:t xml:space="preserve"> </w:t>
      </w:r>
      <w:proofErr w:type="spellStart"/>
      <w:r w:rsidRPr="003E27AF">
        <w:t>therapy</w:t>
      </w:r>
      <w:proofErr w:type="spellEnd"/>
      <w:r w:rsidRPr="003E27AF">
        <w:t xml:space="preserve">, </w:t>
      </w:r>
      <w:proofErr w:type="spellStart"/>
      <w:r w:rsidRPr="003E27AF">
        <w:t>and</w:t>
      </w:r>
      <w:proofErr w:type="spellEnd"/>
      <w:r w:rsidRPr="003E27AF">
        <w:t xml:space="preserve"> ECOG PS. </w:t>
      </w:r>
      <w:proofErr w:type="spellStart"/>
      <w:r w:rsidRPr="003E27AF">
        <w:t>The</w:t>
      </w:r>
      <w:proofErr w:type="spellEnd"/>
      <w:r w:rsidRPr="003E27AF">
        <w:t xml:space="preserve"> </w:t>
      </w:r>
      <w:proofErr w:type="spellStart"/>
      <w:r w:rsidRPr="003E27AF">
        <w:t>primary</w:t>
      </w:r>
      <w:proofErr w:type="spellEnd"/>
      <w:r w:rsidRPr="003E27AF">
        <w:t xml:space="preserve"> </w:t>
      </w:r>
      <w:proofErr w:type="spellStart"/>
      <w:r w:rsidRPr="003E27AF">
        <w:t>endpoint</w:t>
      </w:r>
      <w:proofErr w:type="spellEnd"/>
      <w:r w:rsidRPr="003E27AF">
        <w:t xml:space="preserve"> </w:t>
      </w:r>
      <w:proofErr w:type="spellStart"/>
      <w:r w:rsidRPr="003E27AF">
        <w:t>was</w:t>
      </w:r>
      <w:proofErr w:type="spellEnd"/>
      <w:r w:rsidRPr="003E27AF">
        <w:t xml:space="preserve"> </w:t>
      </w:r>
      <w:proofErr w:type="spellStart"/>
      <w:r w:rsidRPr="003E27AF">
        <w:t>progression-free</w:t>
      </w:r>
      <w:proofErr w:type="spellEnd"/>
      <w:r w:rsidRPr="003E27AF">
        <w:t xml:space="preserve"> </w:t>
      </w:r>
      <w:proofErr w:type="spellStart"/>
      <w:r w:rsidRPr="003E27AF">
        <w:t>survival</w:t>
      </w:r>
      <w:proofErr w:type="spellEnd"/>
      <w:r w:rsidRPr="003E27AF">
        <w:t xml:space="preserve"> (PFS) </w:t>
      </w:r>
      <w:proofErr w:type="spellStart"/>
      <w:r w:rsidRPr="003E27AF">
        <w:t>per</w:t>
      </w:r>
      <w:proofErr w:type="spellEnd"/>
      <w:r w:rsidRPr="003E27AF">
        <w:t xml:space="preserve"> RECIST 1.1 </w:t>
      </w:r>
      <w:proofErr w:type="spellStart"/>
      <w:r w:rsidRPr="003E27AF">
        <w:t>of</w:t>
      </w:r>
      <w:proofErr w:type="spellEnd"/>
      <w:r w:rsidRPr="003E27AF">
        <w:t xml:space="preserve"> </w:t>
      </w:r>
      <w:proofErr w:type="spellStart"/>
      <w:r w:rsidRPr="003E27AF">
        <w:t>each</w:t>
      </w:r>
      <w:proofErr w:type="spellEnd"/>
      <w:r w:rsidRPr="003E27AF">
        <w:t xml:space="preserve"> V </w:t>
      </w:r>
      <w:proofErr w:type="spellStart"/>
      <w:r w:rsidRPr="003E27AF">
        <w:t>arm</w:t>
      </w:r>
      <w:proofErr w:type="spellEnd"/>
      <w:r w:rsidRPr="003E27AF">
        <w:t xml:space="preserve"> </w:t>
      </w:r>
      <w:proofErr w:type="spellStart"/>
      <w:r w:rsidRPr="003E27AF">
        <w:t>vs</w:t>
      </w:r>
      <w:proofErr w:type="spellEnd"/>
      <w:r w:rsidRPr="003E27AF">
        <w:t xml:space="preserve"> </w:t>
      </w:r>
      <w:proofErr w:type="spellStart"/>
      <w:r w:rsidRPr="003E27AF">
        <w:t>Plc+C</w:t>
      </w:r>
      <w:proofErr w:type="spellEnd"/>
      <w:r w:rsidRPr="003E27AF">
        <w:t xml:space="preserve">/P </w:t>
      </w:r>
      <w:proofErr w:type="spellStart"/>
      <w:r w:rsidRPr="003E27AF">
        <w:t>by</w:t>
      </w:r>
      <w:proofErr w:type="spellEnd"/>
      <w:r w:rsidRPr="003E27AF">
        <w:t xml:space="preserve"> </w:t>
      </w:r>
      <w:proofErr w:type="spellStart"/>
      <w:r w:rsidRPr="003E27AF">
        <w:t>independent</w:t>
      </w:r>
      <w:proofErr w:type="spellEnd"/>
      <w:r w:rsidRPr="003E27AF">
        <w:t xml:space="preserve"> </w:t>
      </w:r>
      <w:proofErr w:type="spellStart"/>
      <w:r w:rsidRPr="003E27AF">
        <w:t>review</w:t>
      </w:r>
      <w:proofErr w:type="spellEnd"/>
      <w:r w:rsidRPr="003E27AF">
        <w:t xml:space="preserve">. </w:t>
      </w:r>
      <w:proofErr w:type="spellStart"/>
      <w:r w:rsidRPr="003E27AF">
        <w:t>Primary</w:t>
      </w:r>
      <w:proofErr w:type="spellEnd"/>
      <w:r w:rsidRPr="003E27AF">
        <w:t xml:space="preserve"> </w:t>
      </w:r>
      <w:proofErr w:type="spellStart"/>
      <w:r w:rsidRPr="003E27AF">
        <w:t>analysis</w:t>
      </w:r>
      <w:proofErr w:type="spellEnd"/>
      <w:r w:rsidRPr="003E27AF">
        <w:t xml:space="preserve"> </w:t>
      </w:r>
      <w:proofErr w:type="spellStart"/>
      <w:r w:rsidRPr="003E27AF">
        <w:t>occurred</w:t>
      </w:r>
      <w:proofErr w:type="spellEnd"/>
      <w:r w:rsidRPr="003E27AF">
        <w:t xml:space="preserve"> </w:t>
      </w:r>
      <w:proofErr w:type="spellStart"/>
      <w:r w:rsidRPr="003E27AF">
        <w:t>at</w:t>
      </w:r>
      <w:proofErr w:type="spellEnd"/>
      <w:r w:rsidRPr="003E27AF">
        <w:t xml:space="preserve"> </w:t>
      </w:r>
      <w:proofErr w:type="spellStart"/>
      <w:r w:rsidRPr="003E27AF">
        <w:t>the</w:t>
      </w:r>
      <w:proofErr w:type="spellEnd"/>
      <w:r w:rsidRPr="003E27AF">
        <w:t xml:space="preserve"> 112th PFS </w:t>
      </w:r>
      <w:proofErr w:type="spellStart"/>
      <w:r w:rsidRPr="003E27AF">
        <w:t>event</w:t>
      </w:r>
      <w:proofErr w:type="spellEnd"/>
      <w:r w:rsidRPr="003E27AF">
        <w:t xml:space="preserve"> </w:t>
      </w:r>
      <w:proofErr w:type="spellStart"/>
      <w:r w:rsidRPr="003E27AF">
        <w:t>in</w:t>
      </w:r>
      <w:proofErr w:type="spellEnd"/>
      <w:r w:rsidRPr="003E27AF">
        <w:t xml:space="preserve"> </w:t>
      </w:r>
      <w:proofErr w:type="spellStart"/>
      <w:r w:rsidRPr="003E27AF">
        <w:t>the</w:t>
      </w:r>
      <w:proofErr w:type="spellEnd"/>
      <w:r w:rsidRPr="003E27AF">
        <w:t xml:space="preserve"> V+C/P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Plc+C</w:t>
      </w:r>
      <w:proofErr w:type="spellEnd"/>
      <w:r w:rsidRPr="003E27AF">
        <w:t xml:space="preserve">/P </w:t>
      </w:r>
      <w:proofErr w:type="spellStart"/>
      <w:r w:rsidRPr="003E27AF">
        <w:t>arms</w:t>
      </w:r>
      <w:proofErr w:type="spellEnd"/>
      <w:r w:rsidRPr="003E27AF">
        <w:t xml:space="preserve">. </w:t>
      </w:r>
      <w:proofErr w:type="spellStart"/>
      <w:r w:rsidRPr="003E27AF">
        <w:t>Overall</w:t>
      </w:r>
      <w:proofErr w:type="spellEnd"/>
      <w:r w:rsidRPr="003E27AF">
        <w:t xml:space="preserve"> </w:t>
      </w:r>
      <w:proofErr w:type="spellStart"/>
      <w:r w:rsidRPr="003E27AF">
        <w:t>survival</w:t>
      </w:r>
      <w:proofErr w:type="spellEnd"/>
      <w:r w:rsidRPr="003E27AF">
        <w:t xml:space="preserve"> (OS), </w:t>
      </w:r>
      <w:proofErr w:type="spellStart"/>
      <w:r w:rsidRPr="003E27AF">
        <w:t>objective</w:t>
      </w:r>
      <w:proofErr w:type="spellEnd"/>
      <w:r w:rsidRPr="003E27AF">
        <w:t xml:space="preserve"> </w:t>
      </w:r>
      <w:proofErr w:type="spellStart"/>
      <w:r w:rsidRPr="003E27AF">
        <w:t>response</w:t>
      </w:r>
      <w:proofErr w:type="spellEnd"/>
      <w:r w:rsidRPr="003E27AF">
        <w:t xml:space="preserve"> </w:t>
      </w:r>
      <w:proofErr w:type="spellStart"/>
      <w:r w:rsidRPr="003E27AF">
        <w:t>rate</w:t>
      </w:r>
      <w:proofErr w:type="spellEnd"/>
      <w:r w:rsidRPr="003E27AF">
        <w:t xml:space="preserve"> (ORR), </w:t>
      </w:r>
      <w:proofErr w:type="spellStart"/>
      <w:r w:rsidRPr="003E27AF">
        <w:t>tolerability</w:t>
      </w:r>
      <w:proofErr w:type="spellEnd"/>
      <w:r w:rsidRPr="003E27AF">
        <w:t xml:space="preserve">,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quality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</w:t>
      </w:r>
      <w:proofErr w:type="spellStart"/>
      <w:r w:rsidRPr="003E27AF">
        <w:t>life</w:t>
      </w:r>
      <w:proofErr w:type="spellEnd"/>
      <w:r w:rsidRPr="003E27AF">
        <w:t xml:space="preserve"> </w:t>
      </w:r>
      <w:proofErr w:type="spellStart"/>
      <w:r w:rsidRPr="003E27AF">
        <w:t>were</w:t>
      </w:r>
      <w:proofErr w:type="spellEnd"/>
      <w:r w:rsidRPr="003E27AF">
        <w:t xml:space="preserve"> </w:t>
      </w:r>
      <w:proofErr w:type="spellStart"/>
      <w:r w:rsidRPr="003E27AF">
        <w:t>also</w:t>
      </w:r>
      <w:proofErr w:type="spellEnd"/>
      <w:r w:rsidRPr="003E27AF">
        <w:t xml:space="preserve"> </w:t>
      </w:r>
      <w:proofErr w:type="spellStart"/>
      <w:r w:rsidRPr="003E27AF">
        <w:t>evaluated</w:t>
      </w:r>
      <w:proofErr w:type="spellEnd"/>
      <w:r w:rsidRPr="003E27AF">
        <w:t>.</w:t>
      </w:r>
    </w:p>
    <w:p w:rsidR="003E27AF" w:rsidRPr="003E27AF" w:rsidRDefault="003E27AF" w:rsidP="003E27AF">
      <w:pPr>
        <w:jc w:val="both"/>
      </w:pPr>
      <w:proofErr w:type="spellStart"/>
      <w:r w:rsidRPr="003E27AF">
        <w:rPr>
          <w:b/>
          <w:bCs/>
        </w:rPr>
        <w:t>Results</w:t>
      </w:r>
      <w:proofErr w:type="spellEnd"/>
      <w:r w:rsidRPr="003E27AF">
        <w:rPr>
          <w:b/>
          <w:bCs/>
        </w:rPr>
        <w:t>:</w:t>
      </w:r>
      <w:r w:rsidRPr="003E27AF">
        <w:t xml:space="preserve"> A </w:t>
      </w:r>
      <w:proofErr w:type="spellStart"/>
      <w:r w:rsidRPr="003E27AF">
        <w:t>total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196 </w:t>
      </w:r>
      <w:proofErr w:type="spellStart"/>
      <w:r w:rsidRPr="003E27AF">
        <w:t>pts</w:t>
      </w:r>
      <w:proofErr w:type="spellEnd"/>
      <w:r w:rsidRPr="003E27AF">
        <w:t xml:space="preserve"> (193 </w:t>
      </w:r>
      <w:r w:rsidRPr="003E27AF">
        <w:rPr>
          <w:i/>
          <w:iCs/>
        </w:rPr>
        <w:t>BRCA</w:t>
      </w:r>
      <w:r w:rsidRPr="003E27AF">
        <w:t xml:space="preserve">+ </w:t>
      </w:r>
      <w:proofErr w:type="spellStart"/>
      <w:r w:rsidRPr="003E27AF">
        <w:t>per</w:t>
      </w:r>
      <w:proofErr w:type="spellEnd"/>
      <w:r w:rsidRPr="003E27AF">
        <w:t xml:space="preserve"> </w:t>
      </w:r>
      <w:proofErr w:type="spellStart"/>
      <w:r w:rsidRPr="003E27AF">
        <w:t>central</w:t>
      </w:r>
      <w:proofErr w:type="spellEnd"/>
      <w:r w:rsidRPr="003E27AF">
        <w:t xml:space="preserve"> </w:t>
      </w:r>
      <w:proofErr w:type="spellStart"/>
      <w:r w:rsidRPr="003E27AF">
        <w:t>lab</w:t>
      </w:r>
      <w:proofErr w:type="spellEnd"/>
      <w:r w:rsidRPr="003E27AF">
        <w:t xml:space="preserve">) </w:t>
      </w:r>
      <w:proofErr w:type="spellStart"/>
      <w:r w:rsidRPr="003E27AF">
        <w:t>were</w:t>
      </w:r>
      <w:proofErr w:type="spellEnd"/>
      <w:r w:rsidRPr="003E27AF">
        <w:t xml:space="preserve"> </w:t>
      </w:r>
      <w:proofErr w:type="spellStart"/>
      <w:r w:rsidRPr="003E27AF">
        <w:t>randomized</w:t>
      </w:r>
      <w:proofErr w:type="spellEnd"/>
      <w:r w:rsidRPr="003E27AF">
        <w:t xml:space="preserve"> </w:t>
      </w:r>
      <w:proofErr w:type="spellStart"/>
      <w:r w:rsidRPr="003E27AF">
        <w:t>to</w:t>
      </w:r>
      <w:proofErr w:type="spellEnd"/>
      <w:r w:rsidRPr="003E27AF">
        <w:t xml:space="preserve"> </w:t>
      </w:r>
      <w:proofErr w:type="spellStart"/>
      <w:r w:rsidRPr="003E27AF">
        <w:t>receive</w:t>
      </w:r>
      <w:proofErr w:type="spellEnd"/>
      <w:r w:rsidRPr="003E27AF">
        <w:t xml:space="preserve"> </w:t>
      </w:r>
      <w:proofErr w:type="spellStart"/>
      <w:r w:rsidRPr="003E27AF">
        <w:t>double-blinded</w:t>
      </w:r>
      <w:proofErr w:type="spellEnd"/>
      <w:r w:rsidRPr="003E27AF">
        <w:t xml:space="preserve"> V+C/P (n=97) </w:t>
      </w:r>
      <w:proofErr w:type="spellStart"/>
      <w:r w:rsidRPr="003E27AF">
        <w:t>or</w:t>
      </w:r>
      <w:proofErr w:type="spellEnd"/>
      <w:r w:rsidRPr="003E27AF">
        <w:t xml:space="preserve"> </w:t>
      </w:r>
      <w:proofErr w:type="spellStart"/>
      <w:r w:rsidRPr="003E27AF">
        <w:t>Plc+C</w:t>
      </w:r>
      <w:proofErr w:type="spellEnd"/>
      <w:r w:rsidRPr="003E27AF">
        <w:t xml:space="preserve">/P (n=99). </w:t>
      </w:r>
      <w:proofErr w:type="spellStart"/>
      <w:r w:rsidRPr="003E27AF">
        <w:t>Baseline</w:t>
      </w:r>
      <w:proofErr w:type="spellEnd"/>
      <w:r w:rsidRPr="003E27AF">
        <w:t xml:space="preserve"> </w:t>
      </w:r>
      <w:proofErr w:type="spellStart"/>
      <w:r w:rsidRPr="003E27AF">
        <w:t>demographics</w:t>
      </w:r>
      <w:proofErr w:type="spellEnd"/>
      <w:r w:rsidRPr="003E27AF">
        <w:t xml:space="preserve">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disease</w:t>
      </w:r>
      <w:proofErr w:type="spellEnd"/>
      <w:r w:rsidRPr="003E27AF">
        <w:t xml:space="preserve"> </w:t>
      </w:r>
      <w:proofErr w:type="spellStart"/>
      <w:r w:rsidRPr="003E27AF">
        <w:t>characteristics</w:t>
      </w:r>
      <w:proofErr w:type="spellEnd"/>
      <w:r w:rsidRPr="003E27AF">
        <w:t xml:space="preserve"> </w:t>
      </w:r>
      <w:proofErr w:type="spellStart"/>
      <w:r w:rsidRPr="003E27AF">
        <w:t>were</w:t>
      </w:r>
      <w:proofErr w:type="spellEnd"/>
      <w:r w:rsidRPr="003E27AF">
        <w:t xml:space="preserve"> </w:t>
      </w:r>
      <w:proofErr w:type="spellStart"/>
      <w:r w:rsidRPr="003E27AF">
        <w:t>balanced</w:t>
      </w:r>
      <w:proofErr w:type="spellEnd"/>
      <w:r w:rsidRPr="003E27AF">
        <w:t xml:space="preserve"> </w:t>
      </w:r>
      <w:proofErr w:type="spellStart"/>
      <w:r w:rsidRPr="003E27AF">
        <w:t>across</w:t>
      </w:r>
      <w:proofErr w:type="spellEnd"/>
      <w:r w:rsidRPr="003E27AF">
        <w:t xml:space="preserve"> </w:t>
      </w:r>
      <w:proofErr w:type="spellStart"/>
      <w:r w:rsidRPr="003E27AF">
        <w:t>all</w:t>
      </w:r>
      <w:proofErr w:type="spellEnd"/>
      <w:r w:rsidRPr="003E27AF">
        <w:t xml:space="preserve"> </w:t>
      </w:r>
      <w:proofErr w:type="spellStart"/>
      <w:r w:rsidRPr="003E27AF">
        <w:t>treatment</w:t>
      </w:r>
      <w:proofErr w:type="spellEnd"/>
      <w:r w:rsidRPr="003E27AF">
        <w:t xml:space="preserve"> </w:t>
      </w:r>
      <w:proofErr w:type="spellStart"/>
      <w:r w:rsidRPr="003E27AF">
        <w:t>arms</w:t>
      </w:r>
      <w:proofErr w:type="spellEnd"/>
      <w:r w:rsidRPr="003E27AF">
        <w:t xml:space="preserve">. </w:t>
      </w:r>
      <w:proofErr w:type="spellStart"/>
      <w:r w:rsidRPr="003E27AF">
        <w:t>Median</w:t>
      </w:r>
      <w:proofErr w:type="spellEnd"/>
      <w:r w:rsidRPr="003E27AF">
        <w:t xml:space="preserve"> </w:t>
      </w:r>
      <w:proofErr w:type="spellStart"/>
      <w:r w:rsidRPr="003E27AF">
        <w:t>study</w:t>
      </w:r>
      <w:proofErr w:type="spellEnd"/>
      <w:r w:rsidRPr="003E27AF">
        <w:t xml:space="preserve"> </w:t>
      </w:r>
      <w:proofErr w:type="spellStart"/>
      <w:r w:rsidRPr="003E27AF">
        <w:t>drug</w:t>
      </w:r>
      <w:proofErr w:type="spellEnd"/>
      <w:r w:rsidRPr="003E27AF">
        <w:t xml:space="preserve"> </w:t>
      </w:r>
      <w:proofErr w:type="spellStart"/>
      <w:r w:rsidRPr="003E27AF">
        <w:t>exposure</w:t>
      </w:r>
      <w:proofErr w:type="spellEnd"/>
      <w:r w:rsidRPr="003E27AF">
        <w:t xml:space="preserve"> </w:t>
      </w:r>
      <w:proofErr w:type="spellStart"/>
      <w:r w:rsidRPr="003E27AF">
        <w:t>was</w:t>
      </w:r>
      <w:proofErr w:type="spellEnd"/>
      <w:r w:rsidRPr="003E27AF">
        <w:t xml:space="preserve"> 10 </w:t>
      </w:r>
      <w:proofErr w:type="spellStart"/>
      <w:r w:rsidRPr="003E27AF">
        <w:t>cycles</w:t>
      </w:r>
      <w:proofErr w:type="spellEnd"/>
      <w:r w:rsidRPr="003E27AF">
        <w:t xml:space="preserve"> </w:t>
      </w:r>
      <w:proofErr w:type="spellStart"/>
      <w:r w:rsidRPr="003E27AF">
        <w:t>for</w:t>
      </w:r>
      <w:proofErr w:type="spellEnd"/>
      <w:r w:rsidRPr="003E27AF">
        <w:t xml:space="preserve"> </w:t>
      </w:r>
      <w:proofErr w:type="spellStart"/>
      <w:r w:rsidRPr="003E27AF">
        <w:t>Plc+C</w:t>
      </w:r>
      <w:proofErr w:type="spellEnd"/>
      <w:r w:rsidRPr="003E27AF">
        <w:t xml:space="preserve">/P </w:t>
      </w:r>
      <w:proofErr w:type="spellStart"/>
      <w:r w:rsidRPr="003E27AF">
        <w:t>and</w:t>
      </w:r>
      <w:proofErr w:type="spellEnd"/>
      <w:r w:rsidRPr="003E27AF">
        <w:t xml:space="preserve"> 12 </w:t>
      </w:r>
      <w:proofErr w:type="spellStart"/>
      <w:r w:rsidRPr="003E27AF">
        <w:t>cycles</w:t>
      </w:r>
      <w:proofErr w:type="spellEnd"/>
      <w:r w:rsidRPr="003E27AF">
        <w:t xml:space="preserve"> </w:t>
      </w:r>
      <w:proofErr w:type="spellStart"/>
      <w:r w:rsidRPr="003E27AF">
        <w:t>for</w:t>
      </w:r>
      <w:proofErr w:type="spellEnd"/>
      <w:r w:rsidRPr="003E27AF">
        <w:t xml:space="preserve"> V+C/P. </w:t>
      </w:r>
      <w:proofErr w:type="spellStart"/>
      <w:r w:rsidRPr="003E27AF">
        <w:t>The</w:t>
      </w:r>
      <w:proofErr w:type="spellEnd"/>
      <w:r w:rsidRPr="003E27AF">
        <w:t xml:space="preserve"> V+C/P </w:t>
      </w:r>
      <w:proofErr w:type="spellStart"/>
      <w:r w:rsidRPr="003E27AF">
        <w:t>arm</w:t>
      </w:r>
      <w:proofErr w:type="spellEnd"/>
      <w:r w:rsidRPr="003E27AF">
        <w:t xml:space="preserve"> </w:t>
      </w:r>
      <w:proofErr w:type="spellStart"/>
      <w:r w:rsidRPr="003E27AF">
        <w:t>demonstrated</w:t>
      </w:r>
      <w:proofErr w:type="spellEnd"/>
      <w:r w:rsidRPr="003E27AF">
        <w:t xml:space="preserve"> </w:t>
      </w:r>
      <w:proofErr w:type="spellStart"/>
      <w:r w:rsidRPr="003E27AF">
        <w:t>numeric</w:t>
      </w:r>
      <w:proofErr w:type="spellEnd"/>
      <w:r w:rsidRPr="003E27AF">
        <w:t xml:space="preserve"> </w:t>
      </w:r>
      <w:proofErr w:type="spellStart"/>
      <w:r w:rsidRPr="003E27AF">
        <w:t>improvements</w:t>
      </w:r>
      <w:proofErr w:type="spellEnd"/>
      <w:r w:rsidRPr="003E27AF">
        <w:t xml:space="preserve"> </w:t>
      </w:r>
      <w:proofErr w:type="spellStart"/>
      <w:r w:rsidRPr="003E27AF">
        <w:t>for</w:t>
      </w:r>
      <w:proofErr w:type="spellEnd"/>
      <w:r w:rsidRPr="003E27AF">
        <w:t xml:space="preserve"> </w:t>
      </w:r>
      <w:proofErr w:type="spellStart"/>
      <w:r w:rsidRPr="003E27AF">
        <w:t>both</w:t>
      </w:r>
      <w:proofErr w:type="spellEnd"/>
      <w:r w:rsidRPr="003E27AF">
        <w:t xml:space="preserve"> PFS </w:t>
      </w:r>
      <w:proofErr w:type="spellStart"/>
      <w:r w:rsidRPr="003E27AF">
        <w:t>and</w:t>
      </w:r>
      <w:proofErr w:type="spellEnd"/>
      <w:r w:rsidRPr="003E27AF">
        <w:t xml:space="preserve"> OS </w:t>
      </w:r>
      <w:proofErr w:type="spellStart"/>
      <w:r w:rsidRPr="003E27AF">
        <w:t>compared</w:t>
      </w:r>
      <w:proofErr w:type="spellEnd"/>
      <w:r w:rsidRPr="003E27AF">
        <w:t xml:space="preserve"> </w:t>
      </w:r>
      <w:proofErr w:type="spellStart"/>
      <w:r w:rsidRPr="003E27AF">
        <w:t>to</w:t>
      </w:r>
      <w:proofErr w:type="spellEnd"/>
      <w:r w:rsidRPr="003E27AF">
        <w:t xml:space="preserve"> </w:t>
      </w:r>
      <w:proofErr w:type="spellStart"/>
      <w:r w:rsidRPr="003E27AF">
        <w:t>the</w:t>
      </w:r>
      <w:proofErr w:type="spellEnd"/>
      <w:r w:rsidRPr="003E27AF">
        <w:t xml:space="preserve"> </w:t>
      </w:r>
      <w:proofErr w:type="spellStart"/>
      <w:r w:rsidRPr="003E27AF">
        <w:t>Plc+C</w:t>
      </w:r>
      <w:proofErr w:type="spellEnd"/>
      <w:r w:rsidRPr="003E27AF">
        <w:t xml:space="preserve">/P </w:t>
      </w:r>
      <w:proofErr w:type="spellStart"/>
      <w:r w:rsidRPr="003E27AF">
        <w:t>arm</w:t>
      </w:r>
      <w:proofErr w:type="spellEnd"/>
      <w:r w:rsidRPr="003E27AF">
        <w:t xml:space="preserve">; </w:t>
      </w:r>
      <w:proofErr w:type="spellStart"/>
      <w:r w:rsidRPr="003E27AF">
        <w:t>improvement</w:t>
      </w:r>
      <w:proofErr w:type="spellEnd"/>
      <w:r w:rsidRPr="003E27AF">
        <w:t xml:space="preserve"> </w:t>
      </w:r>
      <w:proofErr w:type="spellStart"/>
      <w:r w:rsidRPr="003E27AF">
        <w:t>in</w:t>
      </w:r>
      <w:proofErr w:type="spellEnd"/>
      <w:r w:rsidRPr="003E27AF">
        <w:t xml:space="preserve"> ORR </w:t>
      </w:r>
      <w:proofErr w:type="spellStart"/>
      <w:r w:rsidRPr="003E27AF">
        <w:t>was</w:t>
      </w:r>
      <w:proofErr w:type="spellEnd"/>
      <w:r w:rsidRPr="003E27AF">
        <w:t xml:space="preserve"> </w:t>
      </w:r>
      <w:proofErr w:type="spellStart"/>
      <w:r w:rsidRPr="003E27AF">
        <w:t>statistically</w:t>
      </w:r>
      <w:proofErr w:type="spellEnd"/>
      <w:r w:rsidRPr="003E27AF">
        <w:t xml:space="preserve"> </w:t>
      </w:r>
      <w:proofErr w:type="spellStart"/>
      <w:r w:rsidRPr="003E27AF">
        <w:t>significant</w:t>
      </w:r>
      <w:proofErr w:type="spellEnd"/>
      <w:r w:rsidRPr="003E27AF">
        <w:t xml:space="preserve"> (</w:t>
      </w:r>
      <w:proofErr w:type="spellStart"/>
      <w:r w:rsidRPr="003E27AF">
        <w:t>Table</w:t>
      </w:r>
      <w:proofErr w:type="spellEnd"/>
      <w:r w:rsidRPr="003E27AF">
        <w:t xml:space="preserve"> 1). </w:t>
      </w:r>
      <w:proofErr w:type="spellStart"/>
      <w:r w:rsidRPr="003E27AF">
        <w:t>There</w:t>
      </w:r>
      <w:proofErr w:type="spellEnd"/>
      <w:r w:rsidRPr="003E27AF">
        <w:t xml:space="preserve"> </w:t>
      </w:r>
      <w:proofErr w:type="spellStart"/>
      <w:r w:rsidRPr="003E27AF">
        <w:t>was</w:t>
      </w:r>
      <w:proofErr w:type="spellEnd"/>
      <w:r w:rsidRPr="003E27AF">
        <w:t xml:space="preserve"> </w:t>
      </w:r>
      <w:proofErr w:type="spellStart"/>
      <w:r w:rsidRPr="003E27AF">
        <w:t>no</w:t>
      </w:r>
      <w:proofErr w:type="spellEnd"/>
      <w:r w:rsidRPr="003E27AF">
        <w:t xml:space="preserve"> </w:t>
      </w:r>
      <w:proofErr w:type="spellStart"/>
      <w:r w:rsidRPr="003E27AF">
        <w:t>meaningful</w:t>
      </w:r>
      <w:proofErr w:type="spellEnd"/>
      <w:r w:rsidRPr="003E27AF">
        <w:t xml:space="preserve"> </w:t>
      </w:r>
      <w:proofErr w:type="spellStart"/>
      <w:r w:rsidRPr="003E27AF">
        <w:t>increase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</w:t>
      </w:r>
      <w:proofErr w:type="spellStart"/>
      <w:r w:rsidRPr="003E27AF">
        <w:t>toxicity</w:t>
      </w:r>
      <w:proofErr w:type="spellEnd"/>
      <w:r w:rsidRPr="003E27AF">
        <w:t xml:space="preserve"> </w:t>
      </w:r>
      <w:proofErr w:type="spellStart"/>
      <w:r w:rsidRPr="003E27AF">
        <w:t>with</w:t>
      </w:r>
      <w:proofErr w:type="spellEnd"/>
      <w:r w:rsidRPr="003E27AF">
        <w:t xml:space="preserve"> </w:t>
      </w:r>
      <w:proofErr w:type="spellStart"/>
      <w:r w:rsidRPr="003E27AF">
        <w:t>addition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V. </w:t>
      </w:r>
      <w:proofErr w:type="spellStart"/>
      <w:r w:rsidRPr="003E27AF">
        <w:t>The</w:t>
      </w:r>
      <w:proofErr w:type="spellEnd"/>
      <w:r w:rsidRPr="003E27AF">
        <w:t xml:space="preserve"> </w:t>
      </w:r>
      <w:proofErr w:type="spellStart"/>
      <w:r w:rsidRPr="003E27AF">
        <w:t>most</w:t>
      </w:r>
      <w:proofErr w:type="spellEnd"/>
      <w:r w:rsidRPr="003E27AF">
        <w:t xml:space="preserve"> </w:t>
      </w:r>
      <w:proofErr w:type="spellStart"/>
      <w:r w:rsidRPr="003E27AF">
        <w:t>common</w:t>
      </w:r>
      <w:proofErr w:type="spellEnd"/>
      <w:r w:rsidRPr="003E27AF">
        <w:t xml:space="preserve"> </w:t>
      </w:r>
      <w:proofErr w:type="spellStart"/>
      <w:r w:rsidRPr="003E27AF">
        <w:t>treatment-emergent</w:t>
      </w:r>
      <w:proofErr w:type="spellEnd"/>
      <w:r w:rsidRPr="003E27AF">
        <w:t xml:space="preserve"> </w:t>
      </w:r>
      <w:proofErr w:type="spellStart"/>
      <w:r w:rsidRPr="003E27AF">
        <w:t>adverse</w:t>
      </w:r>
      <w:proofErr w:type="spellEnd"/>
      <w:r w:rsidRPr="003E27AF">
        <w:t xml:space="preserve"> </w:t>
      </w:r>
      <w:proofErr w:type="spellStart"/>
      <w:r w:rsidRPr="003E27AF">
        <w:t>events</w:t>
      </w:r>
      <w:proofErr w:type="spellEnd"/>
      <w:r w:rsidRPr="003E27AF">
        <w:t xml:space="preserve"> (</w:t>
      </w:r>
      <w:proofErr w:type="spellStart"/>
      <w:r w:rsidRPr="003E27AF">
        <w:t>AEs</w:t>
      </w:r>
      <w:proofErr w:type="spellEnd"/>
      <w:r w:rsidRPr="003E27AF">
        <w:t xml:space="preserve">) </w:t>
      </w:r>
      <w:proofErr w:type="spellStart"/>
      <w:r w:rsidRPr="003E27AF">
        <w:t>with</w:t>
      </w:r>
      <w:proofErr w:type="spellEnd"/>
      <w:r w:rsidRPr="003E27AF">
        <w:t xml:space="preserve"> </w:t>
      </w:r>
      <w:proofErr w:type="spellStart"/>
      <w:r w:rsidRPr="003E27AF">
        <w:t>Plc+C</w:t>
      </w:r>
      <w:proofErr w:type="spellEnd"/>
      <w:r w:rsidRPr="003E27AF">
        <w:t xml:space="preserve">/P </w:t>
      </w:r>
      <w:proofErr w:type="spellStart"/>
      <w:r w:rsidRPr="003E27AF">
        <w:t>or</w:t>
      </w:r>
      <w:proofErr w:type="spellEnd"/>
      <w:r w:rsidRPr="003E27AF">
        <w:t xml:space="preserve"> V+C/P </w:t>
      </w:r>
      <w:proofErr w:type="spellStart"/>
      <w:r w:rsidRPr="003E27AF">
        <w:t>were</w:t>
      </w:r>
      <w:proofErr w:type="spellEnd"/>
      <w:r w:rsidRPr="003E27AF">
        <w:t xml:space="preserve"> </w:t>
      </w:r>
      <w:proofErr w:type="spellStart"/>
      <w:r w:rsidRPr="003E27AF">
        <w:t>neutropenia</w:t>
      </w:r>
      <w:proofErr w:type="spellEnd"/>
      <w:r w:rsidRPr="003E27AF">
        <w:t xml:space="preserve"> (74%/74%), </w:t>
      </w:r>
      <w:proofErr w:type="spellStart"/>
      <w:r w:rsidRPr="003E27AF">
        <w:t>thrombocytopenia</w:t>
      </w:r>
      <w:proofErr w:type="spellEnd"/>
      <w:r w:rsidRPr="003E27AF">
        <w:t xml:space="preserve"> (70%/71%),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nausea</w:t>
      </w:r>
      <w:proofErr w:type="spellEnd"/>
      <w:r w:rsidRPr="003E27AF">
        <w:t xml:space="preserve"> (58%/71%). </w:t>
      </w:r>
      <w:proofErr w:type="spellStart"/>
      <w:r w:rsidRPr="003E27AF">
        <w:t>Grade</w:t>
      </w:r>
      <w:proofErr w:type="spellEnd"/>
      <w:r w:rsidRPr="003E27AF">
        <w:t xml:space="preserve"> ≥3 </w:t>
      </w:r>
      <w:proofErr w:type="spellStart"/>
      <w:r w:rsidRPr="003E27AF">
        <w:t>AEs</w:t>
      </w:r>
      <w:proofErr w:type="spellEnd"/>
      <w:r w:rsidRPr="003E27AF">
        <w:t xml:space="preserve"> </w:t>
      </w:r>
      <w:proofErr w:type="spellStart"/>
      <w:r w:rsidRPr="003E27AF">
        <w:t>in</w:t>
      </w:r>
      <w:proofErr w:type="spellEnd"/>
      <w:r w:rsidRPr="003E27AF">
        <w:t xml:space="preserve"> ≥30% </w:t>
      </w:r>
      <w:proofErr w:type="spellStart"/>
      <w:r w:rsidRPr="003E27AF">
        <w:t>of</w:t>
      </w:r>
      <w:proofErr w:type="spellEnd"/>
      <w:r w:rsidRPr="003E27AF">
        <w:t xml:space="preserve"> </w:t>
      </w:r>
      <w:proofErr w:type="spellStart"/>
      <w:r w:rsidRPr="003E27AF">
        <w:t>pts</w:t>
      </w:r>
      <w:proofErr w:type="spellEnd"/>
      <w:r w:rsidRPr="003E27AF">
        <w:t xml:space="preserve"> </w:t>
      </w:r>
      <w:proofErr w:type="spellStart"/>
      <w:r w:rsidRPr="003E27AF">
        <w:t>were</w:t>
      </w:r>
      <w:proofErr w:type="spellEnd"/>
      <w:r w:rsidRPr="003E27AF">
        <w:t xml:space="preserve"> </w:t>
      </w:r>
      <w:proofErr w:type="spellStart"/>
      <w:r w:rsidRPr="003E27AF">
        <w:t>neutropenia</w:t>
      </w:r>
      <w:proofErr w:type="spellEnd"/>
      <w:r w:rsidRPr="003E27AF">
        <w:t xml:space="preserve"> (55%/56%)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thrombocytopenia</w:t>
      </w:r>
      <w:proofErr w:type="spellEnd"/>
      <w:r w:rsidRPr="003E27AF">
        <w:t xml:space="preserve"> (26%/31%), </w:t>
      </w:r>
      <w:proofErr w:type="spellStart"/>
      <w:r w:rsidRPr="003E27AF">
        <w:t>respectively</w:t>
      </w:r>
      <w:proofErr w:type="spellEnd"/>
      <w:r w:rsidRPr="003E27AF">
        <w:t xml:space="preserve">. </w:t>
      </w:r>
      <w:proofErr w:type="spellStart"/>
      <w:r w:rsidRPr="003E27AF">
        <w:t>There</w:t>
      </w:r>
      <w:proofErr w:type="spellEnd"/>
      <w:r w:rsidRPr="003E27AF">
        <w:t xml:space="preserve"> </w:t>
      </w:r>
      <w:proofErr w:type="spellStart"/>
      <w:r w:rsidRPr="003E27AF">
        <w:t>was</w:t>
      </w:r>
      <w:proofErr w:type="spellEnd"/>
      <w:r w:rsidRPr="003E27AF">
        <w:t xml:space="preserve"> </w:t>
      </w:r>
      <w:proofErr w:type="spellStart"/>
      <w:r w:rsidRPr="003E27AF">
        <w:t>no</w:t>
      </w:r>
      <w:proofErr w:type="spellEnd"/>
      <w:r w:rsidRPr="003E27AF">
        <w:t xml:space="preserve"> </w:t>
      </w:r>
      <w:proofErr w:type="spellStart"/>
      <w:r w:rsidRPr="003E27AF">
        <w:t>difference</w:t>
      </w:r>
      <w:proofErr w:type="spellEnd"/>
      <w:r w:rsidRPr="003E27AF">
        <w:t xml:space="preserve"> </w:t>
      </w:r>
      <w:proofErr w:type="spellStart"/>
      <w:r w:rsidRPr="003E27AF">
        <w:t>in</w:t>
      </w:r>
      <w:proofErr w:type="spellEnd"/>
      <w:r w:rsidRPr="003E27AF">
        <w:t xml:space="preserve"> </w:t>
      </w:r>
      <w:proofErr w:type="spellStart"/>
      <w:r w:rsidRPr="003E27AF">
        <w:t>the</w:t>
      </w:r>
      <w:proofErr w:type="spellEnd"/>
      <w:r w:rsidRPr="003E27AF">
        <w:t xml:space="preserve"> </w:t>
      </w:r>
      <w:proofErr w:type="spellStart"/>
      <w:r w:rsidRPr="003E27AF">
        <w:t>use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G-CSF </w:t>
      </w:r>
      <w:proofErr w:type="spellStart"/>
      <w:r w:rsidRPr="003E27AF">
        <w:t>with</w:t>
      </w:r>
      <w:proofErr w:type="spellEnd"/>
      <w:r w:rsidRPr="003E27AF">
        <w:t xml:space="preserve"> </w:t>
      </w:r>
      <w:proofErr w:type="spellStart"/>
      <w:r w:rsidRPr="003E27AF">
        <w:t>addition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V. </w:t>
      </w:r>
      <w:proofErr w:type="spellStart"/>
      <w:r w:rsidRPr="003E27AF">
        <w:t>Significant</w:t>
      </w:r>
      <w:proofErr w:type="spellEnd"/>
      <w:r w:rsidRPr="003E27AF">
        <w:t xml:space="preserve"> </w:t>
      </w:r>
      <w:proofErr w:type="spellStart"/>
      <w:r w:rsidRPr="003E27AF">
        <w:t>improvements</w:t>
      </w:r>
      <w:proofErr w:type="spellEnd"/>
      <w:r w:rsidRPr="003E27AF">
        <w:t xml:space="preserve"> </w:t>
      </w:r>
      <w:proofErr w:type="spellStart"/>
      <w:r w:rsidRPr="003E27AF">
        <w:t>in</w:t>
      </w:r>
      <w:proofErr w:type="spellEnd"/>
      <w:r w:rsidRPr="003E27AF">
        <w:t xml:space="preserve"> </w:t>
      </w:r>
      <w:proofErr w:type="spellStart"/>
      <w:r w:rsidRPr="003E27AF">
        <w:t>fatigue</w:t>
      </w:r>
      <w:proofErr w:type="spellEnd"/>
      <w:r w:rsidRPr="003E27AF">
        <w:t xml:space="preserve">, </w:t>
      </w:r>
      <w:proofErr w:type="spellStart"/>
      <w:r w:rsidRPr="003E27AF">
        <w:t>pain</w:t>
      </w:r>
      <w:proofErr w:type="spellEnd"/>
      <w:r w:rsidRPr="003E27AF">
        <w:t xml:space="preserve">,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insomnia</w:t>
      </w:r>
      <w:proofErr w:type="spellEnd"/>
      <w:r w:rsidRPr="003E27AF">
        <w:t xml:space="preserve"> (</w:t>
      </w:r>
      <w:proofErr w:type="spellStart"/>
      <w:r w:rsidRPr="003E27AF">
        <w:t>all</w:t>
      </w:r>
      <w:proofErr w:type="spellEnd"/>
      <w:r w:rsidRPr="003E27AF">
        <w:t> </w:t>
      </w:r>
      <w:r w:rsidRPr="003E27AF">
        <w:rPr>
          <w:i/>
          <w:iCs/>
        </w:rPr>
        <w:t>P</w:t>
      </w:r>
      <w:r w:rsidRPr="003E27AF">
        <w:t xml:space="preserve">&lt;0.05) </w:t>
      </w:r>
      <w:proofErr w:type="spellStart"/>
      <w:r w:rsidRPr="003E27AF">
        <w:t>were</w:t>
      </w:r>
      <w:proofErr w:type="spellEnd"/>
      <w:r w:rsidRPr="003E27AF">
        <w:t xml:space="preserve"> </w:t>
      </w:r>
      <w:proofErr w:type="spellStart"/>
      <w:r w:rsidRPr="003E27AF">
        <w:t>observed</w:t>
      </w:r>
      <w:proofErr w:type="spellEnd"/>
      <w:r w:rsidRPr="003E27AF">
        <w:t xml:space="preserve"> </w:t>
      </w:r>
      <w:proofErr w:type="spellStart"/>
      <w:r w:rsidRPr="003E27AF">
        <w:t>with</w:t>
      </w:r>
      <w:proofErr w:type="spellEnd"/>
      <w:r w:rsidRPr="003E27AF">
        <w:t xml:space="preserve"> V+C/P </w:t>
      </w:r>
      <w:proofErr w:type="spellStart"/>
      <w:r w:rsidRPr="003E27AF">
        <w:t>vs</w:t>
      </w:r>
      <w:proofErr w:type="spellEnd"/>
      <w:r w:rsidRPr="003E27AF">
        <w:t xml:space="preserve"> </w:t>
      </w:r>
      <w:proofErr w:type="spellStart"/>
      <w:r w:rsidRPr="003E27AF">
        <w:t>Plc+C</w:t>
      </w:r>
      <w:proofErr w:type="spellEnd"/>
      <w:r w:rsidRPr="003E27AF">
        <w:t>/P.</w:t>
      </w:r>
    </w:p>
    <w:p w:rsidR="003E27AF" w:rsidRPr="003E27AF" w:rsidRDefault="003E27AF" w:rsidP="003E27AF">
      <w:pPr>
        <w:jc w:val="both"/>
      </w:pPr>
      <w:proofErr w:type="spellStart"/>
      <w:r w:rsidRPr="003E27AF">
        <w:rPr>
          <w:b/>
          <w:bCs/>
        </w:rPr>
        <w:t>Conclusions</w:t>
      </w:r>
      <w:proofErr w:type="spellEnd"/>
      <w:r w:rsidRPr="003E27AF">
        <w:rPr>
          <w:b/>
          <w:bCs/>
        </w:rPr>
        <w:t>:</w:t>
      </w:r>
      <w:r w:rsidRPr="003E27AF">
        <w:t> </w:t>
      </w:r>
      <w:proofErr w:type="spellStart"/>
      <w:r w:rsidRPr="003E27AF">
        <w:t>This</w:t>
      </w:r>
      <w:proofErr w:type="spellEnd"/>
      <w:r w:rsidRPr="003E27AF">
        <w:t xml:space="preserve"> </w:t>
      </w:r>
      <w:proofErr w:type="spellStart"/>
      <w:r w:rsidRPr="003E27AF">
        <w:t>is</w:t>
      </w:r>
      <w:proofErr w:type="spellEnd"/>
      <w:r w:rsidRPr="003E27AF">
        <w:t xml:space="preserve"> </w:t>
      </w:r>
      <w:proofErr w:type="spellStart"/>
      <w:r w:rsidRPr="003E27AF">
        <w:t>the</w:t>
      </w:r>
      <w:proofErr w:type="spellEnd"/>
      <w:r w:rsidRPr="003E27AF">
        <w:t xml:space="preserve"> </w:t>
      </w:r>
      <w:proofErr w:type="spellStart"/>
      <w:r w:rsidRPr="003E27AF">
        <w:t>first</w:t>
      </w:r>
      <w:proofErr w:type="spellEnd"/>
      <w:r w:rsidRPr="003E27AF">
        <w:t xml:space="preserve"> </w:t>
      </w:r>
      <w:proofErr w:type="spellStart"/>
      <w:r w:rsidRPr="003E27AF">
        <w:t>randomized</w:t>
      </w:r>
      <w:proofErr w:type="spellEnd"/>
      <w:r w:rsidRPr="003E27AF">
        <w:t xml:space="preserve"> </w:t>
      </w:r>
      <w:proofErr w:type="spellStart"/>
      <w:r w:rsidRPr="003E27AF">
        <w:t>phase</w:t>
      </w:r>
      <w:proofErr w:type="spellEnd"/>
      <w:r w:rsidRPr="003E27AF">
        <w:t xml:space="preserve"> 2 </w:t>
      </w:r>
      <w:proofErr w:type="spellStart"/>
      <w:r w:rsidRPr="003E27AF">
        <w:t>trial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a PARP </w:t>
      </w:r>
      <w:proofErr w:type="spellStart"/>
      <w:r w:rsidRPr="003E27AF">
        <w:t>inhibitor</w:t>
      </w:r>
      <w:proofErr w:type="spellEnd"/>
      <w:r w:rsidRPr="003E27AF">
        <w:t xml:space="preserve"> </w:t>
      </w:r>
      <w:proofErr w:type="spellStart"/>
      <w:r w:rsidRPr="003E27AF">
        <w:t>in</w:t>
      </w:r>
      <w:proofErr w:type="spellEnd"/>
      <w:r w:rsidRPr="003E27AF">
        <w:t xml:space="preserve"> </w:t>
      </w:r>
      <w:proofErr w:type="spellStart"/>
      <w:r w:rsidRPr="003E27AF">
        <w:t>combination</w:t>
      </w:r>
      <w:proofErr w:type="spellEnd"/>
      <w:r w:rsidRPr="003E27AF">
        <w:t xml:space="preserve"> </w:t>
      </w:r>
      <w:proofErr w:type="spellStart"/>
      <w:r w:rsidRPr="003E27AF">
        <w:t>with</w:t>
      </w:r>
      <w:proofErr w:type="spellEnd"/>
      <w:r w:rsidRPr="003E27AF">
        <w:t xml:space="preserve"> </w:t>
      </w:r>
      <w:proofErr w:type="spellStart"/>
      <w:r w:rsidRPr="003E27AF">
        <w:t>platinum-based</w:t>
      </w:r>
      <w:proofErr w:type="spellEnd"/>
      <w:r w:rsidRPr="003E27AF">
        <w:t xml:space="preserve"> </w:t>
      </w:r>
      <w:proofErr w:type="spellStart"/>
      <w:r w:rsidRPr="003E27AF">
        <w:t>therapy</w:t>
      </w:r>
      <w:proofErr w:type="spellEnd"/>
      <w:r w:rsidRPr="003E27AF">
        <w:t xml:space="preserve"> </w:t>
      </w:r>
      <w:proofErr w:type="spellStart"/>
      <w:r w:rsidRPr="003E27AF">
        <w:t>for</w:t>
      </w:r>
      <w:proofErr w:type="spellEnd"/>
      <w:r w:rsidRPr="003E27AF">
        <w:t xml:space="preserve"> </w:t>
      </w:r>
      <w:proofErr w:type="spellStart"/>
      <w:r w:rsidRPr="003E27AF">
        <w:t>treatment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> </w:t>
      </w:r>
      <w:r w:rsidRPr="003E27AF">
        <w:rPr>
          <w:i/>
          <w:iCs/>
        </w:rPr>
        <w:t>BRCA1/2</w:t>
      </w:r>
      <w:r w:rsidRPr="003E27AF">
        <w:t xml:space="preserve">-mutated </w:t>
      </w:r>
      <w:proofErr w:type="spellStart"/>
      <w:r w:rsidRPr="003E27AF">
        <w:t>advanced</w:t>
      </w:r>
      <w:proofErr w:type="spellEnd"/>
      <w:r w:rsidRPr="003E27AF">
        <w:t xml:space="preserve"> </w:t>
      </w:r>
      <w:proofErr w:type="spellStart"/>
      <w:r w:rsidRPr="003E27AF">
        <w:t>breast</w:t>
      </w:r>
      <w:proofErr w:type="spellEnd"/>
      <w:r w:rsidRPr="003E27AF">
        <w:t xml:space="preserve"> </w:t>
      </w:r>
      <w:proofErr w:type="spellStart"/>
      <w:r w:rsidRPr="003E27AF">
        <w:t>cancer</w:t>
      </w:r>
      <w:proofErr w:type="spellEnd"/>
      <w:r w:rsidRPr="003E27AF">
        <w:t xml:space="preserve">. V+C/P </w:t>
      </w:r>
      <w:proofErr w:type="spellStart"/>
      <w:r w:rsidRPr="003E27AF">
        <w:t>demonstrated</w:t>
      </w:r>
      <w:proofErr w:type="spellEnd"/>
      <w:r w:rsidRPr="003E27AF">
        <w:t xml:space="preserve"> </w:t>
      </w:r>
      <w:proofErr w:type="spellStart"/>
      <w:r w:rsidRPr="003E27AF">
        <w:t>significantly</w:t>
      </w:r>
      <w:proofErr w:type="spellEnd"/>
      <w:r w:rsidRPr="003E27AF">
        <w:t xml:space="preserve"> </w:t>
      </w:r>
      <w:proofErr w:type="spellStart"/>
      <w:r w:rsidRPr="003E27AF">
        <w:t>higher</w:t>
      </w:r>
      <w:proofErr w:type="spellEnd"/>
      <w:r w:rsidRPr="003E27AF">
        <w:t xml:space="preserve"> ORR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symptom</w:t>
      </w:r>
      <w:proofErr w:type="spellEnd"/>
      <w:r w:rsidRPr="003E27AF">
        <w:t xml:space="preserve"> </w:t>
      </w:r>
      <w:proofErr w:type="spellStart"/>
      <w:r w:rsidRPr="003E27AF">
        <w:t>improvement</w:t>
      </w:r>
      <w:proofErr w:type="spellEnd"/>
      <w:r w:rsidRPr="003E27AF">
        <w:t xml:space="preserve"> </w:t>
      </w:r>
      <w:proofErr w:type="spellStart"/>
      <w:r w:rsidRPr="003E27AF">
        <w:t>compared</w:t>
      </w:r>
      <w:proofErr w:type="spellEnd"/>
      <w:r w:rsidRPr="003E27AF">
        <w:t xml:space="preserve"> </w:t>
      </w:r>
      <w:proofErr w:type="spellStart"/>
      <w:r w:rsidRPr="003E27AF">
        <w:t>to</w:t>
      </w:r>
      <w:proofErr w:type="spellEnd"/>
      <w:r w:rsidRPr="003E27AF">
        <w:t xml:space="preserve"> </w:t>
      </w:r>
      <w:proofErr w:type="spellStart"/>
      <w:r w:rsidRPr="003E27AF">
        <w:t>Plc+C</w:t>
      </w:r>
      <w:proofErr w:type="spellEnd"/>
      <w:r w:rsidRPr="003E27AF">
        <w:t xml:space="preserve">/P, </w:t>
      </w:r>
      <w:proofErr w:type="spellStart"/>
      <w:r w:rsidRPr="003E27AF">
        <w:t>with</w:t>
      </w:r>
      <w:proofErr w:type="spellEnd"/>
      <w:r w:rsidRPr="003E27AF">
        <w:t xml:space="preserve"> </w:t>
      </w:r>
      <w:proofErr w:type="spellStart"/>
      <w:r w:rsidRPr="003E27AF">
        <w:t>nonsignificant</w:t>
      </w:r>
      <w:proofErr w:type="spellEnd"/>
      <w:r w:rsidRPr="003E27AF">
        <w:t xml:space="preserve"> </w:t>
      </w:r>
      <w:proofErr w:type="spellStart"/>
      <w:r w:rsidRPr="003E27AF">
        <w:t>trends</w:t>
      </w:r>
      <w:proofErr w:type="spellEnd"/>
      <w:r w:rsidRPr="003E27AF">
        <w:t xml:space="preserve"> </w:t>
      </w:r>
      <w:proofErr w:type="spellStart"/>
      <w:r w:rsidRPr="003E27AF">
        <w:t>for</w:t>
      </w:r>
      <w:proofErr w:type="spellEnd"/>
      <w:r w:rsidRPr="003E27AF">
        <w:t xml:space="preserve"> </w:t>
      </w:r>
      <w:proofErr w:type="spellStart"/>
      <w:r w:rsidRPr="003E27AF">
        <w:t>improved</w:t>
      </w:r>
      <w:proofErr w:type="spellEnd"/>
      <w:r w:rsidRPr="003E27AF">
        <w:t xml:space="preserve"> OS </w:t>
      </w:r>
      <w:proofErr w:type="spellStart"/>
      <w:r w:rsidRPr="003E27AF">
        <w:t>and</w:t>
      </w:r>
      <w:proofErr w:type="spellEnd"/>
      <w:r w:rsidRPr="003E27AF">
        <w:t xml:space="preserve"> PFS. </w:t>
      </w:r>
      <w:proofErr w:type="spellStart"/>
      <w:r w:rsidRPr="003E27AF">
        <w:t>Phase</w:t>
      </w:r>
      <w:proofErr w:type="spellEnd"/>
      <w:r w:rsidRPr="003E27AF">
        <w:t xml:space="preserve"> 3 </w:t>
      </w:r>
      <w:proofErr w:type="spellStart"/>
      <w:r w:rsidRPr="003E27AF">
        <w:t>trials</w:t>
      </w:r>
      <w:proofErr w:type="spellEnd"/>
      <w:r w:rsidRPr="003E27AF">
        <w:t xml:space="preserve"> </w:t>
      </w:r>
      <w:proofErr w:type="spellStart"/>
      <w:r w:rsidRPr="003E27AF">
        <w:t>are</w:t>
      </w:r>
      <w:proofErr w:type="spellEnd"/>
      <w:r w:rsidRPr="003E27AF">
        <w:t xml:space="preserve"> </w:t>
      </w:r>
      <w:proofErr w:type="spellStart"/>
      <w:r w:rsidRPr="003E27AF">
        <w:t>ongoing</w:t>
      </w:r>
      <w:proofErr w:type="spellEnd"/>
      <w:r w:rsidRPr="003E27AF">
        <w:t>.</w:t>
      </w:r>
    </w:p>
    <w:p w:rsidR="003E27AF" w:rsidRDefault="003E27AF" w:rsidP="003E27AF">
      <w:pPr>
        <w:jc w:val="both"/>
      </w:pPr>
      <w:proofErr w:type="spellStart"/>
      <w:r>
        <w:t>Efficacy</w:t>
      </w:r>
      <w:proofErr w:type="spellEnd"/>
      <w:r>
        <w:t xml:space="preserve"> (ITT </w:t>
      </w:r>
      <w:proofErr w:type="spellStart"/>
      <w:r>
        <w:t>population</w:t>
      </w:r>
      <w:proofErr w:type="spellEnd"/>
      <w:r>
        <w:t xml:space="preserve"> – BRCA </w:t>
      </w:r>
      <w:proofErr w:type="spellStart"/>
      <w:r>
        <w:t>mutation</w:t>
      </w:r>
      <w:proofErr w:type="spellEnd"/>
      <w:r>
        <w:t>)</w:t>
      </w:r>
      <w:r>
        <w:tab/>
      </w:r>
      <w:proofErr w:type="spellStart"/>
      <w:r>
        <w:t>Plc+C</w:t>
      </w:r>
      <w:proofErr w:type="spellEnd"/>
      <w:r>
        <w:t>/P, n=98</w:t>
      </w:r>
      <w:r>
        <w:tab/>
        <w:t>V+C/P, n=95</w:t>
      </w:r>
      <w:r>
        <w:tab/>
        <w:t xml:space="preserve">HR (95% CI); P </w:t>
      </w:r>
      <w:proofErr w:type="spellStart"/>
      <w:r>
        <w:t>value</w:t>
      </w:r>
      <w:proofErr w:type="spellEnd"/>
    </w:p>
    <w:p w:rsidR="003E27AF" w:rsidRDefault="003E27AF" w:rsidP="003E27AF">
      <w:pPr>
        <w:jc w:val="both"/>
      </w:pPr>
      <w:r>
        <w:lastRenderedPageBreak/>
        <w:t>PFS(</w:t>
      </w:r>
      <w:proofErr w:type="spellStart"/>
      <w:r>
        <w:t>mo</w:t>
      </w:r>
      <w:proofErr w:type="spellEnd"/>
      <w:r>
        <w:t>, 95% CI)</w:t>
      </w:r>
      <w:r>
        <w:tab/>
        <w:t>12.3 (9.3–14.5)</w:t>
      </w:r>
      <w:r>
        <w:tab/>
        <w:t>14.1 (11.5–16.2)</w:t>
      </w:r>
      <w:r>
        <w:tab/>
        <w:t>0.789 (0.536–1.162); 0.231</w:t>
      </w:r>
    </w:p>
    <w:p w:rsidR="003E27AF" w:rsidRDefault="003E27AF" w:rsidP="003E27AF">
      <w:pPr>
        <w:jc w:val="both"/>
      </w:pPr>
      <w:r>
        <w:t>OS (</w:t>
      </w:r>
      <w:proofErr w:type="spellStart"/>
      <w:r>
        <w:t>mo</w:t>
      </w:r>
      <w:proofErr w:type="spellEnd"/>
      <w:r>
        <w:t>, 95% CI)</w:t>
      </w:r>
      <w:r>
        <w:tab/>
        <w:t>25.0 (18.1–34.8)</w:t>
      </w:r>
      <w:r>
        <w:tab/>
        <w:t>28.5 (22.4–NR)</w:t>
      </w:r>
      <w:r>
        <w:tab/>
        <w:t>0.725 (0.468–1.121); 0.148</w:t>
      </w:r>
    </w:p>
    <w:p w:rsidR="003E27AF" w:rsidRDefault="003E27AF" w:rsidP="003E27AF">
      <w:pPr>
        <w:jc w:val="both"/>
      </w:pPr>
      <w:r>
        <w:t>ORR, % (95% CI)</w:t>
      </w:r>
      <w:r>
        <w:tab/>
        <w:t>61.3 (49.7–71.9)</w:t>
      </w:r>
      <w:r>
        <w:tab/>
        <w:t>77.8 (66.4–86.7)</w:t>
      </w:r>
      <w:r>
        <w:tab/>
        <w:t>P=0.027</w:t>
      </w:r>
    </w:p>
    <w:p w:rsidR="003E27AF" w:rsidRPr="003E27AF" w:rsidRDefault="003E27AF" w:rsidP="003E27AF">
      <w:pPr>
        <w:jc w:val="both"/>
      </w:pPr>
      <w:proofErr w:type="spellStart"/>
      <w:r w:rsidRPr="003E27AF">
        <w:t>Table</w:t>
      </w:r>
      <w:proofErr w:type="spellEnd"/>
      <w:r w:rsidRPr="003E27AF">
        <w:t xml:space="preserve"> 1</w:t>
      </w:r>
    </w:p>
    <w:p w:rsidR="003E27AF" w:rsidRPr="003E27AF" w:rsidRDefault="003E27AF" w:rsidP="003E27AF">
      <w:pPr>
        <w:jc w:val="both"/>
      </w:pPr>
      <w:proofErr w:type="spellStart"/>
      <w:r w:rsidRPr="003E27AF">
        <w:rPr>
          <w:b/>
          <w:bCs/>
        </w:rPr>
        <w:t>Citation</w:t>
      </w:r>
      <w:proofErr w:type="spellEnd"/>
      <w:r w:rsidRPr="003E27AF">
        <w:rPr>
          <w:b/>
          <w:bCs/>
        </w:rPr>
        <w:t xml:space="preserve"> </w:t>
      </w:r>
      <w:proofErr w:type="spellStart"/>
      <w:r w:rsidRPr="003E27AF">
        <w:rPr>
          <w:b/>
          <w:bCs/>
        </w:rPr>
        <w:t>Format</w:t>
      </w:r>
      <w:proofErr w:type="spellEnd"/>
      <w:r w:rsidRPr="003E27AF">
        <w:rPr>
          <w:b/>
          <w:bCs/>
        </w:rPr>
        <w:t>:</w:t>
      </w:r>
      <w:r w:rsidRPr="003E27AF">
        <w:t> </w:t>
      </w:r>
      <w:proofErr w:type="spellStart"/>
      <w:r w:rsidRPr="003E27AF">
        <w:t>Han</w:t>
      </w:r>
      <w:proofErr w:type="spellEnd"/>
      <w:r w:rsidRPr="003E27AF">
        <w:t xml:space="preserve"> HS, </w:t>
      </w:r>
      <w:proofErr w:type="spellStart"/>
      <w:r w:rsidRPr="003E27AF">
        <w:t>Diéras</w:t>
      </w:r>
      <w:proofErr w:type="spellEnd"/>
      <w:r w:rsidRPr="003E27AF">
        <w:t xml:space="preserve"> V, </w:t>
      </w:r>
      <w:proofErr w:type="spellStart"/>
      <w:r w:rsidRPr="003E27AF">
        <w:t>Robson</w:t>
      </w:r>
      <w:proofErr w:type="spellEnd"/>
      <w:r w:rsidRPr="003E27AF">
        <w:t xml:space="preserve"> ME, </w:t>
      </w:r>
      <w:proofErr w:type="spellStart"/>
      <w:r w:rsidRPr="003E27AF">
        <w:t>Palácová</w:t>
      </w:r>
      <w:proofErr w:type="spellEnd"/>
      <w:r w:rsidRPr="003E27AF">
        <w:t xml:space="preserve"> M, </w:t>
      </w:r>
      <w:proofErr w:type="spellStart"/>
      <w:r w:rsidRPr="003E27AF">
        <w:t>Marcom</w:t>
      </w:r>
      <w:proofErr w:type="spellEnd"/>
      <w:r w:rsidRPr="003E27AF">
        <w:t xml:space="preserve"> PK, </w:t>
      </w:r>
      <w:proofErr w:type="spellStart"/>
      <w:r w:rsidRPr="003E27AF">
        <w:t>Jager</w:t>
      </w:r>
      <w:proofErr w:type="spellEnd"/>
      <w:r w:rsidRPr="003E27AF">
        <w:t xml:space="preserve"> A, </w:t>
      </w:r>
      <w:proofErr w:type="spellStart"/>
      <w:r w:rsidRPr="003E27AF">
        <w:t>Bondarenko</w:t>
      </w:r>
      <w:proofErr w:type="spellEnd"/>
      <w:r w:rsidRPr="003E27AF">
        <w:t xml:space="preserve"> I, </w:t>
      </w:r>
      <w:proofErr w:type="spellStart"/>
      <w:r w:rsidRPr="003E27AF">
        <w:t>Citrin</w:t>
      </w:r>
      <w:proofErr w:type="spellEnd"/>
      <w:r w:rsidRPr="003E27AF">
        <w:t xml:space="preserve"> D, </w:t>
      </w:r>
      <w:proofErr w:type="spellStart"/>
      <w:r w:rsidRPr="003E27AF">
        <w:t>Campone</w:t>
      </w:r>
      <w:proofErr w:type="spellEnd"/>
      <w:r w:rsidRPr="003E27AF">
        <w:t xml:space="preserve"> M, </w:t>
      </w:r>
      <w:proofErr w:type="spellStart"/>
      <w:r w:rsidRPr="003E27AF">
        <w:t>Telli</w:t>
      </w:r>
      <w:proofErr w:type="spellEnd"/>
      <w:r w:rsidRPr="003E27AF">
        <w:t xml:space="preserve"> ML, </w:t>
      </w:r>
      <w:proofErr w:type="spellStart"/>
      <w:r w:rsidRPr="003E27AF">
        <w:t>Domchek</w:t>
      </w:r>
      <w:proofErr w:type="spellEnd"/>
      <w:r w:rsidRPr="003E27AF">
        <w:t xml:space="preserve"> SM, </w:t>
      </w:r>
      <w:proofErr w:type="spellStart"/>
      <w:r w:rsidRPr="003E27AF">
        <w:t>Friedlander</w:t>
      </w:r>
      <w:proofErr w:type="spellEnd"/>
      <w:r w:rsidRPr="003E27AF">
        <w:t xml:space="preserve"> M, </w:t>
      </w:r>
      <w:proofErr w:type="spellStart"/>
      <w:r w:rsidRPr="003E27AF">
        <w:t>Kaufman</w:t>
      </w:r>
      <w:proofErr w:type="spellEnd"/>
      <w:r w:rsidRPr="003E27AF">
        <w:t xml:space="preserve"> B, </w:t>
      </w:r>
      <w:proofErr w:type="spellStart"/>
      <w:r w:rsidRPr="003E27AF">
        <w:t>Ratajczak</w:t>
      </w:r>
      <w:proofErr w:type="spellEnd"/>
      <w:r w:rsidRPr="003E27AF">
        <w:t xml:space="preserve"> C, </w:t>
      </w:r>
      <w:proofErr w:type="spellStart"/>
      <w:r w:rsidRPr="003E27AF">
        <w:t>Coates</w:t>
      </w:r>
      <w:proofErr w:type="spellEnd"/>
      <w:r w:rsidRPr="003E27AF">
        <w:t xml:space="preserve"> A, </w:t>
      </w:r>
      <w:proofErr w:type="spellStart"/>
      <w:r w:rsidRPr="003E27AF">
        <w:t>Bonnet</w:t>
      </w:r>
      <w:proofErr w:type="spellEnd"/>
      <w:r w:rsidRPr="003E27AF">
        <w:t xml:space="preserve"> P, </w:t>
      </w:r>
      <w:proofErr w:type="spellStart"/>
      <w:r w:rsidRPr="003E27AF">
        <w:t>Qin</w:t>
      </w:r>
      <w:proofErr w:type="spellEnd"/>
      <w:r w:rsidRPr="003E27AF">
        <w:t xml:space="preserve"> Q, </w:t>
      </w:r>
      <w:proofErr w:type="spellStart"/>
      <w:r w:rsidRPr="003E27AF">
        <w:t>Qian</w:t>
      </w:r>
      <w:proofErr w:type="spellEnd"/>
      <w:r w:rsidRPr="003E27AF">
        <w:t xml:space="preserve"> J, </w:t>
      </w:r>
      <w:proofErr w:type="spellStart"/>
      <w:r w:rsidRPr="003E27AF">
        <w:t>Giranda</w:t>
      </w:r>
      <w:proofErr w:type="spellEnd"/>
      <w:r w:rsidRPr="003E27AF">
        <w:t xml:space="preserve"> VL, </w:t>
      </w:r>
      <w:proofErr w:type="spellStart"/>
      <w:r w:rsidRPr="003E27AF">
        <w:t>Shepherd</w:t>
      </w:r>
      <w:proofErr w:type="spellEnd"/>
      <w:r w:rsidRPr="003E27AF">
        <w:t xml:space="preserve"> SP, </w:t>
      </w:r>
      <w:proofErr w:type="spellStart"/>
      <w:r w:rsidRPr="003E27AF">
        <w:t>Isakoff</w:t>
      </w:r>
      <w:proofErr w:type="spellEnd"/>
      <w:r w:rsidRPr="003E27AF">
        <w:t xml:space="preserve"> SJ, </w:t>
      </w:r>
      <w:proofErr w:type="spellStart"/>
      <w:r w:rsidRPr="003E27AF">
        <w:t>Puhalla</w:t>
      </w:r>
      <w:proofErr w:type="spellEnd"/>
      <w:r w:rsidRPr="003E27AF">
        <w:t xml:space="preserve"> S. </w:t>
      </w:r>
      <w:proofErr w:type="spellStart"/>
      <w:r w:rsidRPr="003E27AF">
        <w:t>Efficacy</w:t>
      </w:r>
      <w:proofErr w:type="spellEnd"/>
      <w:r w:rsidRPr="003E27AF">
        <w:t xml:space="preserve">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tolerability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</w:t>
      </w:r>
      <w:proofErr w:type="spellStart"/>
      <w:r w:rsidRPr="003E27AF">
        <w:t>veliparib</w:t>
      </w:r>
      <w:proofErr w:type="spellEnd"/>
      <w:r w:rsidRPr="003E27AF">
        <w:t xml:space="preserve"> (V; ABT-888) </w:t>
      </w:r>
      <w:proofErr w:type="spellStart"/>
      <w:r w:rsidRPr="003E27AF">
        <w:t>in</w:t>
      </w:r>
      <w:proofErr w:type="spellEnd"/>
      <w:r w:rsidRPr="003E27AF">
        <w:t xml:space="preserve"> </w:t>
      </w:r>
      <w:proofErr w:type="spellStart"/>
      <w:r w:rsidRPr="003E27AF">
        <w:t>combination</w:t>
      </w:r>
      <w:proofErr w:type="spellEnd"/>
      <w:r w:rsidRPr="003E27AF">
        <w:t xml:space="preserve"> </w:t>
      </w:r>
      <w:proofErr w:type="spellStart"/>
      <w:r w:rsidRPr="003E27AF">
        <w:t>with</w:t>
      </w:r>
      <w:proofErr w:type="spellEnd"/>
      <w:r w:rsidRPr="003E27AF">
        <w:t xml:space="preserve"> </w:t>
      </w:r>
      <w:proofErr w:type="spellStart"/>
      <w:r w:rsidRPr="003E27AF">
        <w:t>carboplatin</w:t>
      </w:r>
      <w:proofErr w:type="spellEnd"/>
      <w:r w:rsidRPr="003E27AF">
        <w:t xml:space="preserve"> (C)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paclitaxel</w:t>
      </w:r>
      <w:proofErr w:type="spellEnd"/>
      <w:r w:rsidRPr="003E27AF">
        <w:t xml:space="preserve"> (P) </w:t>
      </w:r>
      <w:proofErr w:type="spellStart"/>
      <w:r w:rsidRPr="003E27AF">
        <w:t>vs</w:t>
      </w:r>
      <w:proofErr w:type="spellEnd"/>
      <w:r w:rsidRPr="003E27AF">
        <w:t xml:space="preserve"> </w:t>
      </w:r>
      <w:proofErr w:type="spellStart"/>
      <w:r w:rsidRPr="003E27AF">
        <w:t>placebo</w:t>
      </w:r>
      <w:proofErr w:type="spellEnd"/>
      <w:r w:rsidRPr="003E27AF">
        <w:t xml:space="preserve"> (</w:t>
      </w:r>
      <w:proofErr w:type="spellStart"/>
      <w:r w:rsidRPr="003E27AF">
        <w:t>Plc</w:t>
      </w:r>
      <w:proofErr w:type="spellEnd"/>
      <w:r w:rsidRPr="003E27AF">
        <w:t xml:space="preserve">)+C/P </w:t>
      </w:r>
      <w:proofErr w:type="spellStart"/>
      <w:r w:rsidRPr="003E27AF">
        <w:t>in</w:t>
      </w:r>
      <w:proofErr w:type="spellEnd"/>
      <w:r w:rsidRPr="003E27AF">
        <w:t xml:space="preserve"> </w:t>
      </w:r>
      <w:proofErr w:type="spellStart"/>
      <w:r w:rsidRPr="003E27AF">
        <w:t>patients</w:t>
      </w:r>
      <w:proofErr w:type="spellEnd"/>
      <w:r w:rsidRPr="003E27AF">
        <w:t xml:space="preserve"> (</w:t>
      </w:r>
      <w:proofErr w:type="spellStart"/>
      <w:r w:rsidRPr="003E27AF">
        <w:t>pts</w:t>
      </w:r>
      <w:proofErr w:type="spellEnd"/>
      <w:r w:rsidRPr="003E27AF">
        <w:t xml:space="preserve">) </w:t>
      </w:r>
      <w:proofErr w:type="spellStart"/>
      <w:r w:rsidRPr="003E27AF">
        <w:t>with</w:t>
      </w:r>
      <w:proofErr w:type="spellEnd"/>
      <w:r w:rsidRPr="003E27AF">
        <w:t> </w:t>
      </w:r>
      <w:r w:rsidRPr="003E27AF">
        <w:rPr>
          <w:i/>
          <w:iCs/>
        </w:rPr>
        <w:t>BRCA1</w:t>
      </w:r>
      <w:r w:rsidRPr="003E27AF">
        <w:t> </w:t>
      </w:r>
      <w:proofErr w:type="spellStart"/>
      <w:r w:rsidRPr="003E27AF">
        <w:t>or</w:t>
      </w:r>
      <w:proofErr w:type="spellEnd"/>
      <w:r w:rsidRPr="003E27AF">
        <w:t> </w:t>
      </w:r>
      <w:r w:rsidRPr="003E27AF">
        <w:rPr>
          <w:i/>
          <w:iCs/>
        </w:rPr>
        <w:t>BRCA2</w:t>
      </w:r>
      <w:r w:rsidRPr="003E27AF">
        <w:t> </w:t>
      </w:r>
      <w:proofErr w:type="spellStart"/>
      <w:r w:rsidRPr="003E27AF">
        <w:t>mutations</w:t>
      </w:r>
      <w:proofErr w:type="spellEnd"/>
      <w:r w:rsidRPr="003E27AF">
        <w:t xml:space="preserve"> </w:t>
      </w:r>
      <w:proofErr w:type="spellStart"/>
      <w:r w:rsidRPr="003E27AF">
        <w:t>and</w:t>
      </w:r>
      <w:proofErr w:type="spellEnd"/>
      <w:r w:rsidRPr="003E27AF">
        <w:t xml:space="preserve"> </w:t>
      </w:r>
      <w:proofErr w:type="spellStart"/>
      <w:r w:rsidRPr="003E27AF">
        <w:t>metastatic</w:t>
      </w:r>
      <w:proofErr w:type="spellEnd"/>
      <w:r w:rsidRPr="003E27AF">
        <w:t xml:space="preserve"> </w:t>
      </w:r>
      <w:proofErr w:type="spellStart"/>
      <w:r w:rsidRPr="003E27AF">
        <w:t>breast</w:t>
      </w:r>
      <w:proofErr w:type="spellEnd"/>
      <w:r w:rsidRPr="003E27AF">
        <w:t xml:space="preserve"> </w:t>
      </w:r>
      <w:proofErr w:type="spellStart"/>
      <w:r w:rsidRPr="003E27AF">
        <w:t>cancer</w:t>
      </w:r>
      <w:proofErr w:type="spellEnd"/>
      <w:r w:rsidRPr="003E27AF">
        <w:t xml:space="preserve">: A </w:t>
      </w:r>
      <w:proofErr w:type="spellStart"/>
      <w:r w:rsidRPr="003E27AF">
        <w:t>randomized</w:t>
      </w:r>
      <w:proofErr w:type="spellEnd"/>
      <w:r w:rsidRPr="003E27AF">
        <w:t xml:space="preserve">, </w:t>
      </w:r>
      <w:proofErr w:type="spellStart"/>
      <w:r w:rsidRPr="003E27AF">
        <w:t>phase</w:t>
      </w:r>
      <w:proofErr w:type="spellEnd"/>
      <w:r w:rsidRPr="003E27AF">
        <w:t xml:space="preserve"> 2 </w:t>
      </w:r>
      <w:proofErr w:type="spellStart"/>
      <w:r w:rsidRPr="003E27AF">
        <w:t>study</w:t>
      </w:r>
      <w:proofErr w:type="spellEnd"/>
      <w:r w:rsidRPr="003E27AF">
        <w:t xml:space="preserve"> [</w:t>
      </w:r>
      <w:proofErr w:type="spellStart"/>
      <w:r w:rsidRPr="003E27AF">
        <w:t>abstract</w:t>
      </w:r>
      <w:proofErr w:type="spellEnd"/>
      <w:r w:rsidRPr="003E27AF">
        <w:t xml:space="preserve">]. </w:t>
      </w:r>
      <w:proofErr w:type="spellStart"/>
      <w:r w:rsidRPr="003E27AF">
        <w:t>In</w:t>
      </w:r>
      <w:proofErr w:type="spellEnd"/>
      <w:r w:rsidRPr="003E27AF">
        <w:t xml:space="preserve">: </w:t>
      </w:r>
      <w:proofErr w:type="spellStart"/>
      <w:r w:rsidRPr="003E27AF">
        <w:t>Proceedings</w:t>
      </w:r>
      <w:proofErr w:type="spellEnd"/>
      <w:r w:rsidRPr="003E27AF">
        <w:t xml:space="preserve"> </w:t>
      </w:r>
      <w:proofErr w:type="spellStart"/>
      <w:r w:rsidRPr="003E27AF">
        <w:t>of</w:t>
      </w:r>
      <w:proofErr w:type="spellEnd"/>
      <w:r w:rsidRPr="003E27AF">
        <w:t xml:space="preserve"> </w:t>
      </w:r>
      <w:proofErr w:type="spellStart"/>
      <w:r w:rsidRPr="003E27AF">
        <w:t>the</w:t>
      </w:r>
      <w:proofErr w:type="spellEnd"/>
      <w:r w:rsidRPr="003E27AF">
        <w:t xml:space="preserve"> 2016 </w:t>
      </w:r>
      <w:proofErr w:type="spellStart"/>
      <w:r w:rsidRPr="003E27AF">
        <w:t>San</w:t>
      </w:r>
      <w:proofErr w:type="spellEnd"/>
      <w:r w:rsidRPr="003E27AF">
        <w:t xml:space="preserve"> </w:t>
      </w:r>
      <w:proofErr w:type="spellStart"/>
      <w:r w:rsidRPr="003E27AF">
        <w:t>Antonio</w:t>
      </w:r>
      <w:proofErr w:type="spellEnd"/>
      <w:r w:rsidRPr="003E27AF">
        <w:t xml:space="preserve"> </w:t>
      </w:r>
      <w:proofErr w:type="spellStart"/>
      <w:r w:rsidRPr="003E27AF">
        <w:t>Breast</w:t>
      </w:r>
      <w:proofErr w:type="spellEnd"/>
      <w:r w:rsidRPr="003E27AF">
        <w:t xml:space="preserve"> </w:t>
      </w:r>
      <w:proofErr w:type="spellStart"/>
      <w:r w:rsidRPr="003E27AF">
        <w:t>Cancer</w:t>
      </w:r>
      <w:proofErr w:type="spellEnd"/>
      <w:r w:rsidRPr="003E27AF">
        <w:t xml:space="preserve"> </w:t>
      </w:r>
      <w:proofErr w:type="spellStart"/>
      <w:r w:rsidRPr="003E27AF">
        <w:t>Symposium</w:t>
      </w:r>
      <w:proofErr w:type="spellEnd"/>
      <w:r w:rsidRPr="003E27AF">
        <w:t xml:space="preserve">; 2016 </w:t>
      </w:r>
      <w:proofErr w:type="spellStart"/>
      <w:r w:rsidRPr="003E27AF">
        <w:t>Dec</w:t>
      </w:r>
      <w:proofErr w:type="spellEnd"/>
      <w:r w:rsidRPr="003E27AF">
        <w:t xml:space="preserve"> 6-10; </w:t>
      </w:r>
      <w:proofErr w:type="spellStart"/>
      <w:r w:rsidRPr="003E27AF">
        <w:t>San</w:t>
      </w:r>
      <w:proofErr w:type="spellEnd"/>
      <w:r w:rsidRPr="003E27AF">
        <w:t xml:space="preserve"> </w:t>
      </w:r>
      <w:proofErr w:type="spellStart"/>
      <w:r w:rsidRPr="003E27AF">
        <w:t>Antonio</w:t>
      </w:r>
      <w:proofErr w:type="spellEnd"/>
      <w:r w:rsidRPr="003E27AF">
        <w:t xml:space="preserve">, TX. </w:t>
      </w:r>
      <w:proofErr w:type="spellStart"/>
      <w:r w:rsidRPr="003E27AF">
        <w:t>Philadelphia</w:t>
      </w:r>
      <w:proofErr w:type="spellEnd"/>
      <w:r w:rsidRPr="003E27AF">
        <w:t xml:space="preserve"> (PA): AACR; </w:t>
      </w:r>
      <w:proofErr w:type="spellStart"/>
      <w:r w:rsidRPr="003E27AF">
        <w:t>Cancer</w:t>
      </w:r>
      <w:proofErr w:type="spellEnd"/>
      <w:r w:rsidRPr="003E27AF">
        <w:t xml:space="preserve"> </w:t>
      </w:r>
      <w:proofErr w:type="spellStart"/>
      <w:r w:rsidRPr="003E27AF">
        <w:t>Res</w:t>
      </w:r>
      <w:proofErr w:type="spellEnd"/>
      <w:r w:rsidRPr="003E27AF">
        <w:t xml:space="preserve"> 2017;77(4 </w:t>
      </w:r>
      <w:proofErr w:type="spellStart"/>
      <w:r w:rsidRPr="003E27AF">
        <w:t>Suppl</w:t>
      </w:r>
      <w:proofErr w:type="spellEnd"/>
      <w:r w:rsidRPr="003E27AF">
        <w:t>):</w:t>
      </w:r>
      <w:proofErr w:type="spellStart"/>
      <w:r w:rsidRPr="003E27AF">
        <w:t>Abstract</w:t>
      </w:r>
      <w:proofErr w:type="spellEnd"/>
      <w:r w:rsidRPr="003E27AF">
        <w:t xml:space="preserve"> </w:t>
      </w:r>
      <w:proofErr w:type="spellStart"/>
      <w:r w:rsidRPr="003E27AF">
        <w:t>nr</w:t>
      </w:r>
      <w:proofErr w:type="spellEnd"/>
      <w:r w:rsidRPr="003E27AF">
        <w:t xml:space="preserve"> S2-05.</w:t>
      </w:r>
    </w:p>
    <w:p w:rsidR="003E0D65" w:rsidRDefault="003E0D65" w:rsidP="003E27AF">
      <w:pPr>
        <w:jc w:val="both"/>
      </w:pPr>
    </w:p>
    <w:sectPr w:rsidR="003E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6E4F"/>
    <w:multiLevelType w:val="multilevel"/>
    <w:tmpl w:val="1F1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AC18C4"/>
    <w:multiLevelType w:val="multilevel"/>
    <w:tmpl w:val="A33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AF"/>
    <w:rsid w:val="003E0D65"/>
    <w:rsid w:val="003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350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4806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6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4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0791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4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1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0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12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4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711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515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375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single" w:sz="2" w:space="8" w:color="DBDBDB"/>
                                                                                <w:left w:val="single" w:sz="2" w:space="8" w:color="DBDBDB"/>
                                                                                <w:bottom w:val="single" w:sz="12" w:space="8" w:color="DBDBDB"/>
                                                                                <w:right w:val="single" w:sz="2" w:space="8" w:color="DBDBD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357332">
                                                                                  <w:marLeft w:val="2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ncerres.aacrjournals.org/lookup/external-ref?link_type=CLINTRIALGOV&amp;access_num=NCT01506609&amp;atom=%2Fcanres%2F77%2F4_Supplement%2FS2-05.at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2017-06-18T22:21:00Z</dcterms:created>
  <dcterms:modified xsi:type="dcterms:W3CDTF">2017-06-18T22:23:00Z</dcterms:modified>
</cp:coreProperties>
</file>