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C" w:rsidRPr="00EA456C" w:rsidRDefault="00EA456C" w:rsidP="00FA727D">
      <w:pPr>
        <w:pBdr>
          <w:bottom w:val="single" w:sz="4" w:space="9" w:color="999999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Theme="majorHAnsi" w:eastAsia="Times New Roman" w:hAnsiTheme="majorHAnsi" w:cs="Helvetica"/>
          <w:color w:val="9E7BB6"/>
          <w:kern w:val="36"/>
          <w:sz w:val="32"/>
          <w:szCs w:val="32"/>
          <w:lang w:val="ru-RU" w:eastAsia="uk-UA"/>
        </w:rPr>
      </w:pPr>
      <w:r>
        <w:rPr>
          <w:rFonts w:asciiTheme="majorHAnsi" w:eastAsia="Times New Roman" w:hAnsiTheme="majorHAnsi" w:cs="Helvetica"/>
          <w:color w:val="9E7BB6"/>
          <w:kern w:val="36"/>
          <w:sz w:val="32"/>
          <w:szCs w:val="32"/>
          <w:lang w:eastAsia="uk-UA"/>
        </w:rPr>
        <w:t>Медичні аспекти здоров’я жінки № 1(106), 2017, С. 32-42</w:t>
      </w:r>
      <w:r w:rsidRPr="00EA456C">
        <w:rPr>
          <w:rFonts w:asciiTheme="majorHAnsi" w:eastAsia="Times New Roman" w:hAnsiTheme="majorHAnsi" w:cs="Helvetica"/>
          <w:color w:val="9E7BB6"/>
          <w:kern w:val="36"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Theme="majorHAnsi" w:eastAsia="Times New Roman" w:hAnsiTheme="majorHAnsi" w:cs="Helvetica"/>
          <w:color w:val="9E7BB6"/>
          <w:kern w:val="36"/>
          <w:sz w:val="32"/>
          <w:szCs w:val="32"/>
          <w:lang w:val="en-US" w:eastAsia="uk-UA"/>
        </w:rPr>
        <w:t>eISSN</w:t>
      </w:r>
      <w:proofErr w:type="spellEnd"/>
      <w:r w:rsidRPr="00EA456C">
        <w:rPr>
          <w:rFonts w:asciiTheme="majorHAnsi" w:eastAsia="Times New Roman" w:hAnsiTheme="majorHAnsi" w:cs="Helvetica"/>
          <w:color w:val="9E7BB6"/>
          <w:kern w:val="36"/>
          <w:sz w:val="32"/>
          <w:szCs w:val="32"/>
          <w:lang w:val="ru-RU" w:eastAsia="uk-UA"/>
        </w:rPr>
        <w:t xml:space="preserve"> 2411-8893</w:t>
      </w:r>
    </w:p>
    <w:p w:rsidR="00FA727D" w:rsidRPr="00FA727D" w:rsidRDefault="00FA727D" w:rsidP="00FA727D">
      <w:pPr>
        <w:pBdr>
          <w:bottom w:val="single" w:sz="4" w:space="9" w:color="999999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Theme="majorHAnsi" w:eastAsia="Times New Roman" w:hAnsiTheme="majorHAnsi" w:cs="Helvetica"/>
          <w:color w:val="9E7BB6"/>
          <w:kern w:val="36"/>
          <w:sz w:val="24"/>
          <w:szCs w:val="24"/>
          <w:lang w:val="en-US" w:eastAsia="uk-UA"/>
        </w:rPr>
      </w:pPr>
      <w:r w:rsidRPr="00FA727D">
        <w:rPr>
          <w:rFonts w:asciiTheme="majorHAnsi" w:eastAsia="Times New Roman" w:hAnsiTheme="majorHAnsi" w:cs="Helvetica"/>
          <w:color w:val="9E7BB6"/>
          <w:kern w:val="36"/>
          <w:sz w:val="32"/>
          <w:szCs w:val="32"/>
          <w:lang w:eastAsia="uk-UA"/>
        </w:rPr>
        <w:t xml:space="preserve">Національний консенсус щодо ведення пацієнтів із </w:t>
      </w:r>
      <w:proofErr w:type="spellStart"/>
      <w:r w:rsidRPr="00FA727D">
        <w:rPr>
          <w:rFonts w:asciiTheme="majorHAnsi" w:eastAsia="Times New Roman" w:hAnsiTheme="majorHAnsi" w:cs="Helvetica"/>
          <w:color w:val="9E7BB6"/>
          <w:kern w:val="36"/>
          <w:sz w:val="32"/>
          <w:szCs w:val="32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9E7BB6"/>
          <w:kern w:val="36"/>
          <w:sz w:val="32"/>
          <w:szCs w:val="32"/>
          <w:lang w:eastAsia="uk-UA"/>
        </w:rPr>
        <w:t xml:space="preserve"> 2016</w:t>
      </w:r>
    </w:p>
    <w:p w:rsidR="00FA727D" w:rsidRPr="00FA727D" w:rsidRDefault="00FA727D" w:rsidP="00FA727D">
      <w:pPr>
        <w:shd w:val="clear" w:color="auto" w:fill="FFFFFF"/>
        <w:spacing w:line="240" w:lineRule="auto"/>
        <w:jc w:val="both"/>
        <w:textAlignment w:val="baseline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М.Д. </w:t>
      </w:r>
      <w:proofErr w:type="spellStart"/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Тронько</w:t>
      </w:r>
      <w:proofErr w:type="spellEnd"/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,</w:t>
      </w:r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 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 xml:space="preserve">., професор, академік НАМН України, чл.-кор. НАН України, директор ДУ «Інститут ендокринології та обміну речовин ім. В. П.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Комісаренка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 xml:space="preserve"> НАМН України». </w:t>
      </w:r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Ю.Г. </w:t>
      </w:r>
      <w:proofErr w:type="spellStart"/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Антипкін</w:t>
      </w:r>
      <w:proofErr w:type="spellEnd"/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,</w:t>
      </w:r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 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., академік НАМН України, директор ДУ «Інститут педіатрії, акушерства і гінекології НАМН України», президент Асоціації педіатрів України. </w:t>
      </w:r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В.В. </w:t>
      </w:r>
      <w:proofErr w:type="spellStart"/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Камінський</w:t>
      </w:r>
      <w:proofErr w:type="spellEnd"/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,</w:t>
      </w:r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 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 xml:space="preserve">., професор, чл.-кор. НАМН України, завідувач кафедри акушерства, гінекології та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репродуктології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 xml:space="preserve"> НМАПО ім. П. Л.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Шупика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, головний позаштатний спеціаліст з акушерства та гінекології МОЗ України, виконавчий директор Асоціації акушерів-гінекологів України. </w:t>
      </w:r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Т.Ф. Татарчук,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  <w:t>., професор, чл.-кор. НАМН України, заступник директора з наукової роботи, завідувач відділення ендокринної гінекології ДУ «Інститут педіатрії, акушерства та гінекології НАМН України», головний позаштатний спеціаліст із дитячої гінекології МОЗ України та інші</w:t>
      </w:r>
    </w:p>
    <w:p w:rsidR="00FA727D" w:rsidRPr="00FA727D" w:rsidRDefault="00FA727D" w:rsidP="00FA727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Содержание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статьи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:</w:t>
      </w:r>
    </w:p>
    <w:p w:rsidR="00FA727D" w:rsidRPr="00FA727D" w:rsidRDefault="00D6446C" w:rsidP="00FA727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hyperlink r:id="rId5" w:anchor="h3-1" w:history="1">
        <w:r w:rsidR="00FA727D" w:rsidRPr="00FA727D">
          <w:rPr>
            <w:rFonts w:asciiTheme="majorHAnsi" w:eastAsia="Times New Roman" w:hAnsiTheme="majorHAnsi" w:cs="Helvetica"/>
            <w:b/>
            <w:bCs/>
            <w:i/>
            <w:iCs/>
            <w:color w:val="428BCA"/>
            <w:sz w:val="24"/>
            <w:szCs w:val="24"/>
            <w:bdr w:val="none" w:sz="0" w:space="0" w:color="auto" w:frame="1"/>
            <w:lang w:eastAsia="uk-UA"/>
          </w:rPr>
          <w:t>Термінологія</w:t>
        </w:r>
        <w:r w:rsidR="00FA727D" w:rsidRPr="00FA727D">
          <w:rPr>
            <w:rFonts w:asciiTheme="majorHAnsi" w:eastAsia="Times New Roman" w:hAnsiTheme="majorHAnsi" w:cs="Helvetica"/>
            <w:i/>
            <w:iCs/>
            <w:color w:val="428BCA"/>
            <w:sz w:val="24"/>
            <w:szCs w:val="24"/>
            <w:u w:val="single"/>
            <w:bdr w:val="none" w:sz="0" w:space="0" w:color="auto" w:frame="1"/>
            <w:lang w:eastAsia="uk-UA"/>
          </w:rPr>
          <w:t>.</w:t>
        </w:r>
      </w:hyperlink>
    </w:p>
    <w:p w:rsidR="00FA727D" w:rsidRPr="00FA727D" w:rsidRDefault="00D6446C" w:rsidP="00FA727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hyperlink r:id="rId6" w:anchor="h3-2" w:history="1">
        <w:r w:rsidR="00FA727D" w:rsidRPr="00FA727D">
          <w:rPr>
            <w:rFonts w:asciiTheme="majorHAnsi" w:eastAsia="Times New Roman" w:hAnsiTheme="majorHAnsi" w:cs="Helvetica"/>
            <w:b/>
            <w:bCs/>
            <w:i/>
            <w:iCs/>
            <w:color w:val="428BCA"/>
            <w:sz w:val="24"/>
            <w:szCs w:val="24"/>
            <w:bdr w:val="none" w:sz="0" w:space="0" w:color="auto" w:frame="1"/>
            <w:lang w:eastAsia="uk-UA"/>
          </w:rPr>
          <w:t>Епідеміологія</w:t>
        </w:r>
        <w:r w:rsidR="00FA727D" w:rsidRPr="00FA727D">
          <w:rPr>
            <w:rFonts w:asciiTheme="majorHAnsi" w:eastAsia="Times New Roman" w:hAnsiTheme="majorHAnsi" w:cs="Helvetica"/>
            <w:i/>
            <w:iCs/>
            <w:color w:val="428BCA"/>
            <w:sz w:val="24"/>
            <w:szCs w:val="24"/>
            <w:u w:val="single"/>
            <w:bdr w:val="none" w:sz="0" w:space="0" w:color="auto" w:frame="1"/>
            <w:lang w:eastAsia="uk-UA"/>
          </w:rPr>
          <w:t>.</w:t>
        </w:r>
      </w:hyperlink>
    </w:p>
    <w:p w:rsidR="00FA727D" w:rsidRPr="00FA727D" w:rsidRDefault="00D6446C" w:rsidP="00FA727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hyperlink r:id="rId7" w:anchor="h3-3" w:history="1">
        <w:r w:rsidR="00FA727D" w:rsidRPr="00FA727D">
          <w:rPr>
            <w:rFonts w:asciiTheme="majorHAnsi" w:eastAsia="Times New Roman" w:hAnsiTheme="majorHAnsi" w:cs="Helvetica"/>
            <w:b/>
            <w:bCs/>
            <w:i/>
            <w:iCs/>
            <w:color w:val="428BCA"/>
            <w:sz w:val="24"/>
            <w:szCs w:val="24"/>
            <w:bdr w:val="none" w:sz="0" w:space="0" w:color="auto" w:frame="1"/>
            <w:lang w:eastAsia="uk-UA"/>
          </w:rPr>
          <w:t>Етіологія</w:t>
        </w:r>
        <w:r w:rsidR="00FA727D" w:rsidRPr="00FA727D">
          <w:rPr>
            <w:rFonts w:asciiTheme="majorHAnsi" w:eastAsia="Times New Roman" w:hAnsiTheme="majorHAnsi" w:cs="Helvetica"/>
            <w:i/>
            <w:iCs/>
            <w:color w:val="428BCA"/>
            <w:sz w:val="24"/>
            <w:szCs w:val="24"/>
            <w:u w:val="single"/>
            <w:bdr w:val="none" w:sz="0" w:space="0" w:color="auto" w:frame="1"/>
            <w:lang w:eastAsia="uk-UA"/>
          </w:rPr>
          <w:t>.</w:t>
        </w:r>
      </w:hyperlink>
    </w:p>
    <w:p w:rsidR="00FA727D" w:rsidRPr="00FA727D" w:rsidRDefault="00D6446C" w:rsidP="00FA727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hyperlink r:id="rId8" w:anchor="h3-4" w:history="1">
        <w:r w:rsidR="00FA727D" w:rsidRPr="00FA727D">
          <w:rPr>
            <w:rFonts w:asciiTheme="majorHAnsi" w:eastAsia="Times New Roman" w:hAnsiTheme="majorHAnsi" w:cs="Helvetica"/>
            <w:b/>
            <w:bCs/>
            <w:i/>
            <w:iCs/>
            <w:color w:val="428BCA"/>
            <w:sz w:val="24"/>
            <w:szCs w:val="24"/>
            <w:bdr w:val="none" w:sz="0" w:space="0" w:color="auto" w:frame="1"/>
            <w:lang w:eastAsia="uk-UA"/>
          </w:rPr>
          <w:t>Клінічні ознаки</w:t>
        </w:r>
        <w:r w:rsidR="00FA727D" w:rsidRPr="00FA727D">
          <w:rPr>
            <w:rFonts w:asciiTheme="majorHAnsi" w:eastAsia="Times New Roman" w:hAnsiTheme="majorHAnsi" w:cs="Helvetica"/>
            <w:i/>
            <w:iCs/>
            <w:color w:val="428BCA"/>
            <w:sz w:val="24"/>
            <w:szCs w:val="24"/>
            <w:u w:val="single"/>
            <w:bdr w:val="none" w:sz="0" w:space="0" w:color="auto" w:frame="1"/>
            <w:lang w:eastAsia="uk-UA"/>
          </w:rPr>
          <w:t>.</w:t>
        </w:r>
      </w:hyperlink>
    </w:p>
    <w:p w:rsidR="00FA727D" w:rsidRPr="00FA727D" w:rsidRDefault="00D6446C" w:rsidP="00FA727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hyperlink r:id="rId9" w:anchor="h3-5" w:history="1">
        <w:r w:rsidR="00FA727D" w:rsidRPr="00FA727D">
          <w:rPr>
            <w:rFonts w:asciiTheme="majorHAnsi" w:eastAsia="Times New Roman" w:hAnsiTheme="majorHAnsi" w:cs="Helvetica"/>
            <w:b/>
            <w:bCs/>
            <w:i/>
            <w:iCs/>
            <w:color w:val="428BCA"/>
            <w:sz w:val="24"/>
            <w:szCs w:val="24"/>
            <w:bdr w:val="none" w:sz="0" w:space="0" w:color="auto" w:frame="1"/>
            <w:lang w:eastAsia="uk-UA"/>
          </w:rPr>
          <w:t>Діагностика</w:t>
        </w:r>
        <w:r w:rsidR="00FA727D" w:rsidRPr="00FA727D">
          <w:rPr>
            <w:rFonts w:asciiTheme="majorHAnsi" w:eastAsia="Times New Roman" w:hAnsiTheme="majorHAnsi" w:cs="Helvetica"/>
            <w:i/>
            <w:iCs/>
            <w:color w:val="428BCA"/>
            <w:sz w:val="24"/>
            <w:szCs w:val="24"/>
            <w:u w:val="single"/>
            <w:bdr w:val="none" w:sz="0" w:space="0" w:color="auto" w:frame="1"/>
            <w:lang w:eastAsia="uk-UA"/>
          </w:rPr>
          <w:t>.</w:t>
        </w:r>
      </w:hyperlink>
    </w:p>
    <w:p w:rsidR="00FA727D" w:rsidRPr="00FA727D" w:rsidRDefault="00D6446C" w:rsidP="00FA727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hyperlink r:id="rId10" w:anchor="h3-6" w:history="1">
        <w:r w:rsidR="00FA727D" w:rsidRPr="00FA727D">
          <w:rPr>
            <w:rFonts w:asciiTheme="majorHAnsi" w:eastAsia="Times New Roman" w:hAnsiTheme="majorHAnsi" w:cs="Helvetica"/>
            <w:b/>
            <w:bCs/>
            <w:i/>
            <w:iCs/>
            <w:color w:val="428BCA"/>
            <w:sz w:val="24"/>
            <w:szCs w:val="24"/>
            <w:bdr w:val="none" w:sz="0" w:space="0" w:color="auto" w:frame="1"/>
            <w:lang w:eastAsia="uk-UA"/>
          </w:rPr>
          <w:t>Лікування</w:t>
        </w:r>
        <w:r w:rsidR="00FA727D" w:rsidRPr="00FA727D">
          <w:rPr>
            <w:rFonts w:asciiTheme="majorHAnsi" w:eastAsia="Times New Roman" w:hAnsiTheme="majorHAnsi" w:cs="Helvetica"/>
            <w:i/>
            <w:iCs/>
            <w:color w:val="428BCA"/>
            <w:sz w:val="24"/>
            <w:szCs w:val="24"/>
            <w:u w:val="single"/>
            <w:bdr w:val="none" w:sz="0" w:space="0" w:color="auto" w:frame="1"/>
            <w:lang w:eastAsia="uk-UA"/>
          </w:rPr>
          <w:t>.</w:t>
        </w:r>
      </w:hyperlink>
    </w:p>
    <w:p w:rsidR="00FA727D" w:rsidRPr="00FA727D" w:rsidRDefault="00D6446C" w:rsidP="00FA727D">
      <w:pPr>
        <w:shd w:val="clear" w:color="auto" w:fill="FFFFFF"/>
        <w:spacing w:after="182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D6446C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pict>
          <v:rect id="_x0000_i1025" style="width:432.9pt;height:.45pt" o:hrpct="0" o:hralign="center" o:hrstd="t" o:hrnoshade="t" o:hr="t" fillcolor="#ddd" stroked="f"/>
        </w:pic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Протягом останніх років накопичено багато нових доказових даних про роль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 патогенезі дисгормональних порушень, раку молочної залози, розладів з боку кісткової системи в жінок, а також при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пролактиномах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гіпофіза. Це привело до перегляду діагностичних підходів і схем лікування цієї патології. У документі представлено огляд існуючих методів діагностики та лікування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запропоновано алгоритми ведення пацієнток цієї категорії в Україні.</w:t>
      </w:r>
    </w:p>
    <w:p w:rsidR="00FA727D" w:rsidRPr="00FA727D" w:rsidRDefault="00FA727D" w:rsidP="00FA72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lang w:eastAsia="uk-UA"/>
        </w:rPr>
        <w:t>Термінологія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– стійке підвищення рівня пролактину в сироватці крові. Синдром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– це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симптомокомплекс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що виникає на фоні підвищеного рівня пролактину, найбільш характерним проявом якого є порушення функції репродуктивної системи, а в тяжких випадках, при існуванні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пролактинсекретуючих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пухлин гіпофіза – до неврологічних 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нейроофтальмологічних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порушень.</w:t>
      </w:r>
    </w:p>
    <w:p w:rsidR="00FA727D" w:rsidRPr="00FA727D" w:rsidRDefault="00FA727D" w:rsidP="00FA72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lang w:eastAsia="uk-UA"/>
        </w:rPr>
        <w:t>Епідеміологія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Офіційні дані про поширеність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 Україні та у світі відсутні. М.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Kars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et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al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 [7] в 2009 р. опублікували дослідження, за результатами якого поширеність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становила приблизно 10/100 000 у чоловіків і 30/100 000 у жінок, її пік спостерігався серед осіб віком 24-35 років.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– найбільш розповсюджений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гіпофізарний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гормональний розлад, який зустрічається в клінічній практиці [6], що є причиною порушень менструальної та генеративної функцій у більш ніж 25-30 % випадків, а також багатьох доброякісних захворювань молочних залоз і матки, що в цілому негативно впливає на якість життя жінок.</w:t>
      </w:r>
    </w:p>
    <w:p w:rsidR="00FA727D" w:rsidRPr="00FA727D" w:rsidRDefault="00FA727D" w:rsidP="00FA72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lang w:eastAsia="uk-UA"/>
        </w:rPr>
        <w:t>Етіологія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може бути фізіологічною, патологічною та фармакологічною (табл. 1) [8, 13]. Встановлюючи її причину, необхідно виключити передусім найбільш поширені фізіологічні стани, такі як вагітність і годування грудьми [8]. Стресові умови, 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lastRenderedPageBreak/>
        <w:t xml:space="preserve">в т.ч. легкий стрес від венепункції, можуть викликати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транзиторне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підвищення рівня пролактину в сироватці крові, що слід враховувати при діагностиці [6]. Інші фізіологічні стани, що пов’язані з підвищеною концентрацією пролактину, включають фізичні вправи, сон і коїтус [9]. Патологічні причини – це специфічні стани передньої долі гіпофіза, порушення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гіпоталамо-гіпофізарної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системи і системні розлади, які впливають на підвищення сироваткового рівня пролактину.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Таблиця 1. Етіологія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 [13, 72, 73]</w:t>
      </w:r>
    </w:p>
    <w:tbl>
      <w:tblPr>
        <w:tblW w:w="8658" w:type="dxa"/>
        <w:tblCellMar>
          <w:left w:w="0" w:type="dxa"/>
          <w:right w:w="0" w:type="dxa"/>
        </w:tblCellMar>
        <w:tblLook w:val="04A0"/>
      </w:tblPr>
      <w:tblGrid>
        <w:gridCol w:w="1680"/>
        <w:gridCol w:w="3204"/>
        <w:gridCol w:w="3774"/>
      </w:tblGrid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Фізіологічні фактори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Патологічні чинники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Фармакологічні засоби</w:t>
            </w:r>
          </w:p>
        </w:tc>
      </w:tr>
      <w:tr w:rsidR="00FA727D" w:rsidRPr="00FA727D" w:rsidTr="00FA727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Коїтус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Фізичні вправи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Вагітність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Лактація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Сон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Стрес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Прийом їжі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Гіпоглікемія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 xml:space="preserve">Порушення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гіпоталамо-гіпофізарної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 xml:space="preserve"> системи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Гранулематозні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процеси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Інфільтративні процеси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Опромінення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Кіста кишені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Ратке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гіпофізарного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ходу)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Травми: відрив ніжки гіпофіза, хірургічні втручання в ділянці турецького сідла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Пухлини: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краніофарингіоми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герміноми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, метастатичні ураження,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менінгіоми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; розростання пухлини, що знаходиться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супраселярно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Анестетики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Антиконвульсанти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Антидепресанти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Антигістамінні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препарати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Антигіпертензивні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засоби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Агоністи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ацетилхоліну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Наркотичні препарати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Стимулятори вивільнення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катехоламінів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Блокатори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дофамінових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рецепторів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Інгібітори синтезу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дофаміну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Естрогени (оральні контрацептиви та їх відміна)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Нейролептики/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антипсихотичні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засоби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Нейропептиди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Опіати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та антагоністи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опіатних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рецепторів</w:t>
            </w:r>
          </w:p>
        </w:tc>
      </w:tr>
      <w:tr w:rsidR="00FA727D" w:rsidRPr="00FA727D" w:rsidTr="00FA727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vAlign w:val="center"/>
            <w:hideMark/>
          </w:tcPr>
          <w:p w:rsidR="00FA727D" w:rsidRPr="00FA727D" w:rsidRDefault="00FA727D" w:rsidP="00FA727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Патологія гіпофіза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Пролактинома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Ідіопатична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форма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гіперпролактинемії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Параселярні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пухлини або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лімфоцитарний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гіпофізит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Макроаденома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(компресійна)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Мультигормональна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аденома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Акромегалія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Хірургічні втручання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Травми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vAlign w:val="bottom"/>
            <w:hideMark/>
          </w:tcPr>
          <w:p w:rsidR="00FA727D" w:rsidRPr="00FA727D" w:rsidRDefault="00FA727D" w:rsidP="00FA727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</w:p>
        </w:tc>
      </w:tr>
      <w:tr w:rsidR="00FA727D" w:rsidRPr="00FA727D" w:rsidTr="00FA727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A727D" w:rsidRPr="00FA727D" w:rsidRDefault="00FA727D" w:rsidP="00FA727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Системні розлади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Травми грудної клітки, хірургічні втручання на ній, оперізуючий лишай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Хронічна ниркова </w:t>
            </w: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lastRenderedPageBreak/>
              <w:t>недостатність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Інфаркт міокарда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Цироз печінки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Епілептичний напад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Синдром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полікістозних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яєчників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Гіпотиреоз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bottom"/>
            <w:hideMark/>
          </w:tcPr>
          <w:p w:rsidR="00FA727D" w:rsidRPr="00FA727D" w:rsidRDefault="00FA727D" w:rsidP="00FA727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</w:p>
        </w:tc>
      </w:tr>
    </w:tbl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lastRenderedPageBreak/>
        <w:t> 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є найбільш поширеними (приблизно 40 %) пухлинами гіпофіза [10]. Зазвичай вони є доброякісними та мають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моноклональне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походження, залежно від розміру вони класифікуються на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мікроаденоми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 діаметром &lt; 10 мм 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макроаденоми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 діаметром ≥ 10 мм (синоніми: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мікро-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макропролактинома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) [11].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становлять близько 40 % від субклінічних аденом гіпофіза, виявлених при понад 10,4 % розтинів [12]. У той же час клінічні ознаки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варіюються в діапазоні від 6-10 до 50/100 000 досліджених випадків, переважають в жінок і рідко зустрічаються у дітей [13, 14]. Важливо визначити наявність симптомів, пов’язаних з акромегалією, адже змішані аденоми, що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секретують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гормон росту і пролактин, були добре задокументовані [16].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Травми турецького сідла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параселярні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травми, в т.ч. пухлини гіпофіза 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негіпофізарні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наприклад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гранулематозні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захворювання (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саркоїдоз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гістіоцитоз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), а також черепно-мозкові травми можуть призвести до вторинної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зі збільшенням виділення гіпоталамусом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або з транспортуванням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нейромедіатора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до гіпофіза внаслідок ущільнення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гіпофізарного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стовбура [18].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Концентрації пролактину також можуть бути підвищені в пацієнтів із хронічною нирковою недостатністю, як правило, через зниження кліренсу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гормона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 Діаліз не підвищує рівень пролактину в сироватці крові, але він може бути нормалізований тільки після трансплантації нирки [19-21].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Первинний гіпотиреоз і його неадекватне лікування в анамнезі можуть викликати легку і помірну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шляхом підвищення синтезу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гіпоталамічного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тиреотропного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гормона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який здатний стимулювати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лактотрофи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і викликати гіперплазію гіпофіза, імітуючи аденому [22, 23]. Така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може бути компенсована призначенням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левотироксину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як замісної терапії при гіпотиреозі [23, 24].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Синдром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полікістозних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яєчників часто асоціюється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ймовірно, за рахунок підвищеної ароматизації андрогенів в естрогени і стимуляції секреції пролактину зазвичай без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гіпофізарних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порушень. Однак цей синдром 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можуть співіснувати й потребують окремого лікування [25].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Іншою досить поширеною причиною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непухлинного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походження є стрес-індукована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softHyphen/>
        <w:t>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 Рівень пролактину підвищується при психосоціальному стресі, однак зі значними індивідуальними відмінностями у величині відповіді. Характер реакції пролактину не відрізняється в осіб чоловічої і жіночої статі. Проте є певні свідчення, що в жінок спостерігається більш значне підвищення рівня пролактину, ніж у чоловіків, і це, можливо, залежить від рівня естрадіолу [75].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без встановленої причини визначається як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ідіопатична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[18]. Це стосується невеликих аденом гіпофіза, які не ідентифікуються методами візуалізації (МРТ головного мозку), але можуть спричиняти невелике підвищення рівня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гормона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Відомо, що у 10 % випадків врешті-решт виявляється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мікроаденома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прогресія якої в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макроаденому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спостерігається рідко. Спонтанна нормалізація концентрації 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lastRenderedPageBreak/>
        <w:t>пролактину відбувається у 30 % пацієнтів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ідіопатичною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[18, 29].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Однією з найбільш частих причин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непухлинного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походження є застосування лікарських засобів [6]. Нейролептики/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антипсихотичні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препарати можуть викликати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у 40-90 % хворих у зв’язку з антагоністичним ефектом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на такий тип ліків [26]. Терапія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верапамілом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спричиняє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у 8,5 % пацієнтів. У жінок, які приймають комбіновані оральні контрацептиви, у 12-30 % випадків можуть діагностуватися злегка підвищені рівні сироваткового пролактину [27, 28].</w:t>
      </w:r>
    </w:p>
    <w:p w:rsidR="00FA727D" w:rsidRPr="00FA727D" w:rsidRDefault="00FA727D" w:rsidP="00FA72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lang w:eastAsia="uk-UA"/>
        </w:rPr>
        <w:t>Клінічні ознаки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З огляду на те, що пролактин стимулює вироблення молока молочними залозами і що підвищена продукція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гормона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може змінювати синтез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гонадами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статевих стероїдів шляхом порушення пульсуючої секреції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гонадотропін-рилізинг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гормона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гонадотропінів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галакторея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дисфункція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 репродуктивній сфері є клінічними маркерами патологічної і фармакологічної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Однак у деяких пацієнтів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може мати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безсимптомний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перебіг [2, 6]. При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макроаденомі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гіпофіза, що продукує пролактин, окрім проявів, пов’язаних із гормональною гіперсекрецією, можуть з’являтися неврологічні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нейроофтальмологічні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симптоми як наслідок локального компресійного синдрому (табл. 2) [10, 18].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Таблиця 2. Маніфестація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гіперпролактинемії</w:t>
      </w:r>
      <w:proofErr w:type="spellEnd"/>
    </w:p>
    <w:tbl>
      <w:tblPr>
        <w:tblW w:w="8658" w:type="dxa"/>
        <w:tblCellMar>
          <w:left w:w="0" w:type="dxa"/>
          <w:right w:w="0" w:type="dxa"/>
        </w:tblCellMar>
        <w:tblLook w:val="04A0"/>
      </w:tblPr>
      <w:tblGrid>
        <w:gridCol w:w="5912"/>
        <w:gridCol w:w="2746"/>
      </w:tblGrid>
      <w:tr w:rsidR="00FA727D" w:rsidRPr="00FA727D" w:rsidTr="00FA7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Гормональна гіперсекреція</w:t>
            </w:r>
          </w:p>
        </w:tc>
      </w:tr>
      <w:tr w:rsidR="00FA727D" w:rsidRPr="00FA727D" w:rsidTr="00FA7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1. Репродуктивні та сексуальні порушення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Жінки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Порушення статевого дозрівання у дівчат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Розлади менструального циклу (аменорея/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олігоменорея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, аномальні маткові кровотечі, недостатність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лютеїнової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фази)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Галакторея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Безпліддя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Зниження статевого потягу,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диспареунія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Передменструальний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синдром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Дисгормональні захворювання молочних залоз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Чоловіки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Порушення статевого дозрівання у хлопчиків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Еректильна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дисфункція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та зниження лібідо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Слабка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вираженість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вторинних статевих ознак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Зміни у 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спермограмі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Безпліддя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Гінекомастія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Зменшення м’язової маси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Галакторея</w:t>
            </w:r>
            <w:proofErr w:type="spellEnd"/>
          </w:p>
        </w:tc>
      </w:tr>
      <w:tr w:rsidR="00FA727D" w:rsidRPr="00FA727D" w:rsidTr="00FA7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2. Психоемоційні розлади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Депресія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Порушення сну та пам’яті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Тривога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Дратівливість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Емоційна лабільність</w:t>
            </w:r>
          </w:p>
        </w:tc>
      </w:tr>
      <w:tr w:rsidR="00FA727D" w:rsidRPr="00FA727D" w:rsidTr="00FA7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3. Метаболічні порушення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Дисліпідемія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Ожиріння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Інсулінорезистентність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Остеопороз</w:t>
            </w:r>
          </w:p>
        </w:tc>
      </w:tr>
      <w:tr w:rsidR="00FA727D" w:rsidRPr="00FA727D" w:rsidTr="00FA7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Компресійний синдром (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макроаденоми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FA727D" w:rsidRPr="00FA727D" w:rsidTr="00FA727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Сильний головний біль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Зорові порушення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Параліч черепних нервів (III, IV і VI пар) шляхом стиснення в кавернозному синусі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Лікворея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Симптоми підвищення внутрішньочерепного тиску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Гіпопітуїтаризм</w:t>
            </w:r>
            <w:proofErr w:type="spellEnd"/>
          </w:p>
        </w:tc>
      </w:tr>
    </w:tbl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Існують дані про участь пролактину в патогенезі пухлинних процесів. Відомо, що пролактин знижує синтез глобуліну, що зв’язує статеві гормони, збільшує утворення андрогенів в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наднирниках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 Рецептори до пролактину виявлено як в молочних залозах, так і в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міометрії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тканинах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лейоміоми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матки. Цей гормон має мітотичну активність щодо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гладеньком’язових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клітин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лейоміоми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матки, пригнічує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апоптоз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стимулює синтез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інсуліноподібного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фактору росту 1 [56]. Матка є другим після гіпофіза органом за кількістю синтезованого пролактину. До 80 % жінок у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перименопаузі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на фоні підвищеного рівня пролактину можуть страждати від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галактореї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може мати місце у 30 % пацієнток із вторинною аменореєю та у 75 % із синдромом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аменореї-галактореї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[6].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У жінок зі збереженою менструальною функцією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призводить до недостатності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лютеїнової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фази і, як наслідок, до безпліддя [10, 62]. Крім того, поширеним проявом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є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передменструальний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синдром із проявами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мастодинії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[58, 59] та розвиток із часом морфологічних змін у молочних залозах (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фіброзно-кістозна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мастопатія) [71].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У жінок у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постменопаузальному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періоді в результаті фізіологічного зниження рівня естрогенів класичні симптоми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відсутні, і захворювання визначається тільки за наявності компресійного синдрому в осіб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макроаденомами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гіпофіза [28].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У чоловіків у результаті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гіпогонадизму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виявляється зниження статевого потягу,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еректильна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дисфункція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безпліддя 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гінекомастія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Галакторея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 чоловіків має місце у виняткових випадках при дуже високих концентраціях пролактину [10, 31].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Індукований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гіпогонадизм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може призвести до зниження мінеральної щільності кісткової тканини та остеопорозу в осіб обох статей з переважною втратою хребетної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трабекулярної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кісткової тканини і підвищеним ризиком переломів, здебільшого в жінок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за відсутності лікування [18, 32]. Тривало існуюча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у пацієнток молодого віку призводить до втрати мінеральної щільності кісткової тканини та порушень формування піку кісткової маси. Доведено безпосередній корелятивний зв’язок між тривалістю аменореї і порушеннями мінеральної щільності кісток [10, 45]. Нормалізація менструального циклу не компенсує втрату піку кісткової маси, яка так і не повертається до норми [13]. Таким чином, стосовно молодих жінок необхідний 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lastRenderedPageBreak/>
        <w:t>обов’язковий контроль і корекція рівня пролактину для запобігання незворотній втраті піку кісткової маси.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Якщо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зумовлена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макроаденомою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гіпофіза, в залежності від розмірів пухлини можуть виявлятися компресійні симптоми. Проявами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макроаденоми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є сильний біль в лобній частині голови і порушення полів зору, які варіюються у широкому діапазоні від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квадрантанопсії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(випадіння верхніх або нижніх квадрантів поля зору) до класичної гетеронімної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бітемпоральної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геміанопсії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(випадіння обох зовнішніх половин поля зору) [8]. За наявності великих пухлин ефект компресії інших клітин гіпофіза або стиснення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гіпоталамо-гіпофізарної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ніжки може викликати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гіпопітуїтаризм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[28]. Атипові прояви, такі як параліч черепних нервів, частіше зустрічаються при злоякісних пухлинах гіпофіза [18].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У дітей симптоматика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є стертою і включає затримку статевого дозрівання в обох статей з первинною аменореєю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галактореєю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 дівчаток 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гінекомастією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у хлопчиків. Через високу поширеність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макроаденом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гіпофіза в цій віковій групі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часто супроводжуються неврологічними симптомами [28, 31].</w:t>
      </w:r>
    </w:p>
    <w:p w:rsidR="00FA727D" w:rsidRPr="00FA727D" w:rsidRDefault="00FA727D" w:rsidP="00FA72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lang w:eastAsia="uk-UA"/>
        </w:rPr>
        <w:t>Діагностика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Лабораторна діагностика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Для діагностики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достатньо одноразового аналізу на рівень пролактину в сироватці крові (&gt; 25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нг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/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мл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 у жінок і &gt; 20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нг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/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мл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 у чоловіків) 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[13]</w:t>
      </w: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 за умови виключення стресу при венепункції. Якщо є сумнів щодо постановки діагнозу, пропонується повторне визначення концентрації пролактину в інший день шляхом двох вимірів з інтервалом у 15-20 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хв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для уникнення похибок, викликаних пульсуючою секрецією цього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гормона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 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[28].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Аналізи в динаміці для визначення рівня пролактину не є більш доказовими, ніж один вимір, тому використання таких тестів не рекомендується застосовувати при діагностиці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[13, 18]. Слід пам’ятати, що в фолікулярній фазі менструального циклу концентрація пролактину є нижчою, ніж у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лютеїновій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(але знаходиться в межах референтних значень) [13].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Помірне підвищення рівня пролактину або коливання його на верхній межі норми є більш характерним для стрес-індукованої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Тому лабораторні показники повинні аналізуватись в комплексі з клінічною картиною та даними додаткових методів дослідження (оцінка стресу, УЗД молочних залоз та/або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мамографія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визначення рівня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гонадотропінів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естрадіолу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прогестерону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).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Можуть мати місце дві конфліктні ситуації між клінічним і біохімічним діагнозом.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Насамперед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безсимптомна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може бути пов’язана з наявністю високих концентрацій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димерів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і полімерів пролактину (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big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пролактин та big-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big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пролактин), які мають більш низьку біологічну активність (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).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слід вимірювати методом осадження імунних комплексів за допомогою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полі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softHyphen/>
        <w:t>етиленгліколю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Циркулюючий пролактин представлений у вигляді мономера із молекулярною масою 23,5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кДа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(основна біологічно активна форма),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ковалентно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зв’язаного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димера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big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пролактину з молекулярною масою 50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кДа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полімерної форми –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або big-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big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пролактину.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–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ізоформа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молекули пролактину з великою молекулярною масою (&gt; 100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кДа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) та більш низькою біологічною активністю. Істотне підвищення вмісту пролактину в сироватці крові за рахунок переважання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 циркулюючій крові (так званий феномен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) не призводить до симптомів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гіперпролактинемічного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гіпогонадизму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оскільки в такому випадку вміст низькомолекулярного біологічно активного пролактину залишається в фізіологічних межах. Саме тому при відсутності типових симптомів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можна запідозрити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макропролактинемію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(переважання big-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big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пролактину або наявність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антипролактинових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антитіл). 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lastRenderedPageBreak/>
        <w:t xml:space="preserve">Ретроспективний аналіз [13] показав, що приблизно в 40 % випадків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має місце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яка у 20 % пацієнток супроводжується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галактореєю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у 45 % –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оліго-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/аменореєю; аденому гіпофіза діагностують у 20 % випадків [13]. Рекомендується вимірювання рівня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у хворих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безсимптомною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адже його можуть мати до 40 % пацієнтів, однак досліджень щодо відмінності між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мономерним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пролактином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здебільшого не проводять [40, 41].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У пацієнтів із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без клінічних проявів слід виключити феномен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макропролактинемії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[13]. При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 крові переважають не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мономерні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біологічно активні фракції пролактину, а полімерні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димери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або комплекси молекули пролактину з імуноглобуліном класу G, що мають значну молекулярну масу і характеризуються відсутністю біологічних ефектів.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Також можуть спостерігатися значні розбіжності між розміром пухлини гіпофіза і концентрацією пролактину, вторинна дисоціація пов’язана з hook-ефектом. Це артефакт лабораторії, який спостерігається в присутності високих концентрацій пролактину, здатних наситити антитіла при проведенні імунного аналізу, даючи помилково дуже низькі результати [35-39]. Крім того, за наявності великих пухлин із легкою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рекомендується повторити вимір рівня пролактину після розведення 1:100, адже цей крок допоможе диференціювати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нефункціонуючі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аденоми та виключити потенційний hook-ефект [13]. Hook-ефект – це артефакт в методиці визначення рівня пролактину, при якому виміряний вміст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гормона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може бути незначно підвищеним або навіть нормальним при дуже високих справжніх значеннях. Тому в таких ситуаціях рекомендовано вимірювати рівень пролактину в пробах із розведенням, що дає можливість отримати справжні відомості про вміст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гормона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У разі невідповідності великих розмірів аденоми гіпофіза і помірного підвищення рівня пролактину рекомендується послідовне розведення сироватки крові для запобігання отриманню хибних результатів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Прийнято вважати, що при рівні пролактину до ~ 200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нг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/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мл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має місце фармакологічна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softHyphen/>
        <w:t>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&gt; 250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нг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/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мл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–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мікропролактинома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≥ 500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нг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/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мл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–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макропролактинома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(табл. 3). Подібний розподіл є дуже умовним, оскільки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мікропролактиноми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можуть призводити як до мінімального, так і до дуже значного підвищення рівня пролактину [13, 74].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Таблиця 3. Діагностичне значення показників пролактину (1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нг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/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мл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 = 21,2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мОд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/л) [56]</w:t>
      </w:r>
    </w:p>
    <w:tbl>
      <w:tblPr>
        <w:tblW w:w="8658" w:type="dxa"/>
        <w:tblCellMar>
          <w:left w:w="0" w:type="dxa"/>
          <w:right w:w="0" w:type="dxa"/>
        </w:tblCellMar>
        <w:tblLook w:val="04A0"/>
      </w:tblPr>
      <w:tblGrid>
        <w:gridCol w:w="3633"/>
        <w:gridCol w:w="5025"/>
      </w:tblGrid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 xml:space="preserve">Рівень,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нг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/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мл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 (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мОд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/л)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Макропролактиноми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&gt; 500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Мікропролактиноми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&gt; 250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Вагітність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І триместр – 23,5-94,0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ІІ триместр – 94,0-282,0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ІІІ триместр – 188,0-470,0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Гормонально неактивна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макроаденома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До 200 (4000)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Фармакологічна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гіперпролактинемія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25-200 (500-4000)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lastRenderedPageBreak/>
              <w:t>Макропролактинемія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&gt; 25 (за відсутності симптоматики), значна кількість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макропролактину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(&gt; 60 %)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Стрес-індукована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гіперпролактинемія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25-80 (500-1600)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Референтні значення пролактину в дорослих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Жінки</w:t>
            </w: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: 4,79-23,3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Фолікулярна фаза менструального циклу – до 10,0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Овуляторна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фаза – 8,0-12,0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Лютеїнова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фаза – до 16,0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Постменопауза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 – до 8,0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Чоловіки</w:t>
            </w: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: 4,1-18,4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Гіпопролактинемія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&lt; 5 (136)</w:t>
            </w:r>
          </w:p>
        </w:tc>
      </w:tr>
    </w:tbl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Візуалізаційні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методи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МРТ з гадолінієм та з акцентом на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селярній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ділянці дає змогу дослідити анатомічні структури найбільш точно, а також виміряти розмір пухлини та її зв’язок із зоровою хіазмою і кавернозним синусом, тому в даний час є методом вибору для діагностичної візуалізації 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[36].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Нейровізуальні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дослідження показані пацієнтам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будь-якого ступеня, щоб виключити наявність патології в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гіпоталамо-гіпофізарній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зоні [36].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Підозра на фармакологічну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гіперпролактинемію</w:t>
      </w:r>
      <w:proofErr w:type="spellEnd"/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Рекомендується повторне визначення рівня пролактину через 72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год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після відміни препарату, якщо це не призведе до погіршення стану пацієнта.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Механізм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при застосуванні визначених лікарських засобів (табл. 1) полягає в їхній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антидофаміновій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дії. Рівень пролактину при пероральному прийомі препаратів підвищується поступово, і для його нормалізації достатньо 3-денної перерви в терапії. Незважаючи на те що фармакологічна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часто має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безсимптомний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перебіг, в деяких жінок можуть спостерігатися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галакторея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аменорея, у чоловіків – зниження лібідо й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еректильна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дисфункція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Інші методи обстеження при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гіперпролактинемії</w:t>
      </w:r>
      <w:proofErr w:type="spellEnd"/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При встановленні діагнозу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рекомендується виключити вторинні причини, такі як вагітність, ниркова або печінкова недостатність, гіпотиреоз та наявність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параселярних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пухлин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[18].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У жінок репродуктивного віку з аменореєю рекомендовано аналіз на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β-хоріонічний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гонадотропін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людини або УЗД для виключення вагітності.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Щоб виключити наявність гіпотиреозу при виявленні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важливим є визначення концентрацій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тиреотропного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гормона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і вільного тироксину.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При діагностуванні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або гормонально неактивної аденоми гіпофіза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супраселярним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ростом показані консультації нейрохірурга, а також офтальмолога з оцінкою гостроти зору, стану зорового нерва і комп’ютерною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периметрією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(з метою визначення полів зору).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При тривалому анамнезі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гіперпролактинемічного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гіпогонадизму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для оцінки мінеральної щільності кісткової тканини і діагностики остеопорозу доцільно виконати рентгенівську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остеоденситометрію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</w:t>
      </w:r>
    </w:p>
    <w:p w:rsidR="00FA727D" w:rsidRPr="00FA727D" w:rsidRDefault="00FA727D" w:rsidP="00FA727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i/>
          <w:iCs/>
          <w:color w:val="333333"/>
          <w:sz w:val="24"/>
          <w:szCs w:val="24"/>
          <w:lang w:eastAsia="uk-UA"/>
        </w:rPr>
        <w:lastRenderedPageBreak/>
        <w:t>Лікування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Медикаментозне лікування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гіперпролактинемії</w:t>
      </w:r>
      <w:proofErr w:type="spellEnd"/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Лікування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ґрунтується на її першопричині. За наявності фізіологічної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у пацієнтів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безсимптомною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її формою 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медикаментозне лікування не показане [13, 73, 74]. У випадках патологічної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терапія призначається ендокринологом або акушером-гінекологом, при виявленні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обов’язковими є консультації окуліста і нейрохірурга, при фармакологічній 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softHyphen/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– психіатра та інших профільних спеціалістів за показаннями.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Поєднання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із гіпотиреозом у жінок має назву синдрому Ван Віка –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Росса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–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Хеннеса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[74]. Частота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маніфестному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гіпотиреозі становить 21-35 %, при субклінічному – 8-22 %. На фоні призначення адекватних доз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тиреоїдних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гормонів (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левотироксину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) відзначається досягнення не тільки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еутиреозу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але 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нормопролактинемії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Тому при підтвердженні гіпотиреозу питання про подальше лікування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необхідно вирішувати тільки після нормалізації рівня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тиреотропного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гормона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[22-24]. Однак терапія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тиреоїдними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гормонами не завжди приводить до зниження рівня пролактину, відновлення менструальної функції та овуляції, зникнення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галактореї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тому в таких пацієнток слід розглянути питання про доцільність паралельного призначення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[74].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Мета лікування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полягає у нормалізації рівня біологічно активного пролактину для відновлення функції статевих залоз та припинення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галактореї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а в разі, коли етіологічним фактором є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 – у зменшенні маси пухлини та ефектів локальної компресії. У групі пацієнтів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безсимптомним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перебігом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буде достатньо періодичного клінічного контролю [6, 36].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Фармацевтичні засоби, що застосовуються при лікуванні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і пролактином, представлені двома групами [72, 74]:</w:t>
      </w:r>
    </w:p>
    <w:p w:rsidR="00FA727D" w:rsidRPr="00FA727D" w:rsidRDefault="00FA727D" w:rsidP="00FA727D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похідні алкалоїдів ріжків (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ерголінові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):</w:t>
      </w:r>
    </w:p>
    <w:p w:rsidR="00FA727D" w:rsidRPr="00FA727D" w:rsidRDefault="00FA727D" w:rsidP="00FA727D">
      <w:pPr>
        <w:numPr>
          <w:ilvl w:val="1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препарати 2-бромо-α-ергокриптину (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бромокриптин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– I генерація);</w:t>
      </w:r>
    </w:p>
    <w:p w:rsidR="00FA727D" w:rsidRPr="00FA727D" w:rsidRDefault="00FA727D" w:rsidP="00FA727D">
      <w:pPr>
        <w:numPr>
          <w:ilvl w:val="1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препарати 2-бромо-α-ергокриптину і 2-бромо-β-ергокриптину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мезилату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;</w:t>
      </w:r>
    </w:p>
    <w:p w:rsidR="00FA727D" w:rsidRPr="00FA727D" w:rsidRDefault="00FA727D" w:rsidP="00FA727D">
      <w:pPr>
        <w:numPr>
          <w:ilvl w:val="1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препарати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(III генерація);</w:t>
      </w:r>
    </w:p>
    <w:p w:rsidR="00FA727D" w:rsidRPr="00FA727D" w:rsidRDefault="00FA727D" w:rsidP="00FA727D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похідні трициклічних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бензогуанолінів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(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неерголінові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):</w:t>
      </w:r>
    </w:p>
    <w:p w:rsidR="00FA727D" w:rsidRPr="00FA727D" w:rsidRDefault="00FA727D" w:rsidP="00FA727D">
      <w:pPr>
        <w:numPr>
          <w:ilvl w:val="1"/>
          <w:numId w:val="3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препарати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хінаголіду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(II генерація).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Лікування, як правило, включає призначення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таких як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або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бромокриптин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чи рослинних препаратів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дофамінергічної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дії на основі стандартизованих екстрактів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прутняка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звичайного, початкові і терапевтичні дози та побічні ефекти яких представлені в таблиці 4.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Таблиця 4. Медикаментозне лікування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 [10, 72, 73]</w:t>
      </w:r>
    </w:p>
    <w:tbl>
      <w:tblPr>
        <w:tblW w:w="8658" w:type="dxa"/>
        <w:tblCellMar>
          <w:left w:w="0" w:type="dxa"/>
          <w:right w:w="0" w:type="dxa"/>
        </w:tblCellMar>
        <w:tblLook w:val="04A0"/>
      </w:tblPr>
      <w:tblGrid>
        <w:gridCol w:w="2219"/>
        <w:gridCol w:w="3319"/>
        <w:gridCol w:w="3120"/>
      </w:tblGrid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Препарат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Доза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uk-UA"/>
              </w:rPr>
              <w:t>Побічні реакції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Бромокриптин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Почати з 0,625-1,25 мг/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доб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;стандартний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діапазонтерапевтичної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дози – 2,5-10 мг/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доб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Мінімум побічних ефектів досягається шляхом поступового підвищення дози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Загальні: запаморочення, головний біль, нудота,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постуральна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артеріальна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гіпотензія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закладеність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носа,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закреп</w:t>
            </w:r>
            <w:proofErr w:type="spellEnd"/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Можливі: аномалії </w:t>
            </w: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lastRenderedPageBreak/>
              <w:t>клапанів серця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Нечасто: втома, неспокій, депресія, непереносимість алкоголю</w:t>
            </w:r>
          </w:p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Рідко: чутливість до холодного –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вазоспазм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, психоз</w:t>
            </w: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Каберголін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Почати з 0,25-0,5 мг/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тиж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;стандартний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діапазонтерапевтичної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дози – 0,25-3,0 мг/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тиж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CCCCCC"/>
            <w:vAlign w:val="bottom"/>
            <w:hideMark/>
          </w:tcPr>
          <w:p w:rsidR="00FA727D" w:rsidRPr="00FA727D" w:rsidRDefault="00FA727D" w:rsidP="00FA727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</w:p>
        </w:tc>
      </w:tr>
      <w:tr w:rsidR="00FA727D" w:rsidRPr="00FA727D" w:rsidTr="00FA727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lastRenderedPageBreak/>
              <w:t xml:space="preserve">Стандартизовані екстракти плодів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Vitex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agnus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castus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Дози залежать від рівня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дитерпенів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у стандартизованому екстракті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прутняка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 звичайного, а також індивідуальних особливостей пацієнта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A727D" w:rsidRPr="00FA727D" w:rsidRDefault="00FA727D" w:rsidP="00FA727D">
            <w:pPr>
              <w:spacing w:after="91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</w:pPr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 xml:space="preserve">У поодиноких випадках спостерігаються шлунково-кишкові розлади (нудота, біль у шлунку), алергічні реакції, головний біль, </w:t>
            </w:r>
            <w:proofErr w:type="spellStart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акне</w:t>
            </w:r>
            <w:proofErr w:type="spellEnd"/>
            <w:r w:rsidRPr="00FA727D">
              <w:rPr>
                <w:rFonts w:asciiTheme="majorHAnsi" w:eastAsia="Times New Roman" w:hAnsiTheme="majorHAnsi" w:cs="Times New Roman"/>
                <w:sz w:val="24"/>
                <w:szCs w:val="24"/>
                <w:lang w:eastAsia="uk-UA"/>
              </w:rPr>
              <w:t>, в окремих випадках повідомляється про порушення менструального циклу та запаморочення</w:t>
            </w:r>
          </w:p>
        </w:tc>
      </w:tr>
    </w:tbl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Каберголін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є препаратом першої лінії 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як найбільш ефективний щодо нормалізації рівня пролактину та зменшення розмірів пухлини гіпофіза.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Доза може бути підвищена в залежності від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переносимості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препарату. Концентрацію пролактину слід контролювати кожні 4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тиж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при прийомі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бромокриптину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кожні 8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тиж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–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 титруванням препаратів для досягнення мінімальної ефективної дози.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Побічні ефекти спостерігаються при застосуванні всіх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але вони є менш поширеними при використанні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можуть бути зведені до мінімуму, якщо терапію розпочато з прийому дуже низької дози з їжею ввечері.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Бромокриптин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можна призначати в розділених щоденних дозах, 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у розділених щотижневих дозах за потребою для поліпшення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переносимості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[10, 40]. Доза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зазвичай не перевищує 10 мг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бромокриптину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на добу та 3 мг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на тиждень [10].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Зниження дози препарату або його відміна рекомендовані не раніше ніж через 2 роки безперервного лікування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агоністами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за умови тривалої нормалізації рівня пролактину та значного зменшення розмірів або відсутності пухлини за даними МРТ головного мозку.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Незважаючи на можливість відміни терапії при позитивній динаміці, до цього питання потрібно ставитися індивідуально. Небажано відміняти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пролактиномах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що межують зі зоровим перехрещенням або кавернозним синусом. Основні критерії для відміни медикаментозної терапії такі [73]:</w:t>
      </w:r>
    </w:p>
    <w:p w:rsidR="00FA727D" w:rsidRPr="00FA727D" w:rsidRDefault="00FA727D" w:rsidP="00FA727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тривалість лікування понад 2 роки;</w:t>
      </w:r>
    </w:p>
    <w:p w:rsidR="00FA727D" w:rsidRPr="00FA727D" w:rsidRDefault="00FA727D" w:rsidP="00FA727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нормалізація рівня пролактину;</w:t>
      </w:r>
    </w:p>
    <w:p w:rsidR="00FA727D" w:rsidRPr="00FA727D" w:rsidRDefault="00FA727D" w:rsidP="00FA727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відсутність аденоми за результатами МРТ;</w:t>
      </w:r>
    </w:p>
    <w:p w:rsidR="00FA727D" w:rsidRPr="00FA727D" w:rsidRDefault="00FA727D" w:rsidP="00FA727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значне зменшення розмірів пухлини: на &gt; 50 % від вихідного розміру; зменшення розміру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макроаденоми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&lt; 10 мм;</w:t>
      </w:r>
    </w:p>
    <w:p w:rsidR="00FA727D" w:rsidRPr="00FA727D" w:rsidRDefault="00FA727D" w:rsidP="00FA727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вагітність;</w:t>
      </w:r>
    </w:p>
    <w:p w:rsidR="00FA727D" w:rsidRPr="00FA727D" w:rsidRDefault="00FA727D" w:rsidP="00FA727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постменопауза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;</w:t>
      </w:r>
    </w:p>
    <w:p w:rsidR="00FA727D" w:rsidRPr="00FA727D" w:rsidRDefault="00FA727D" w:rsidP="00FA727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можливість подальшого медичного спостереження.</w:t>
      </w:r>
    </w:p>
    <w:p w:rsidR="00FA727D" w:rsidRPr="00FA727D" w:rsidRDefault="00FA727D" w:rsidP="00FA727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Лікування фармакологічної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гіперпролактинемії</w:t>
      </w:r>
      <w:proofErr w:type="spellEnd"/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lastRenderedPageBreak/>
        <w:t xml:space="preserve">Фармакологічна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виникає внаслідок застосування ряду медикаментозних засобів, що можуть підвищувати рівень пролактину (табл. 1).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є вторинною по відношенню до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дофамінергічних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блокаторів, як правило, в діапазоні від 25 до 100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нг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/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мл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за винятком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метоклопраміду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рисперидону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які можуть спричинити підвищення рівня пролактину навіть &gt; 200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нг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/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мл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[6, 44]. У більшості пацієнтів симптоми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відсутні, проте в чоловіків може спостерігатися зниження статевого потягу, а в жінок –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галакторея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аменорея. До того ж існують дані про підвищений ризик втрати кісткової маси у жінок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на фоні застосування нейролептиків як вторинний наслідок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гіпогонадизму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[45].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Концентрація пролактину повільно підвищується після перорального прийому визначених медикаментів (табл. 1) і нормалізується приблизно через 3 дні після його припинення [13, 46]. При відсутності симптомів у пацієнтів із підоз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softHyphen/>
        <w:t xml:space="preserve">рою на фармакологічну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рекомендується за можливості припинити лікування або замінити лікарський засіб на альтернативний, а пізніше провести повторне дослідження сироваткового рівня пролактину [13]. В осіб із симптомами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початок якої не збігається з ініціюванням лікування, за неможливості відміни препарату показане проведення МРТ головного мозку для виключення об’ємних новоутворень гіпоталамуса або гіпофіза, які можуть бути тригерами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Необхідно оцінити можливість заміни одного психотропного препарату на інший, що не викликає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; таку терапію слід завжди проводити під контролем психіатра. Заміна препаратів не рекомендується для лікування хворих із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безсимптомною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фармакологічною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 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[13].</w:t>
      </w: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 За необхідності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агоністи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в поєднанні з психотропними засобами можна використовувати з особливою обережністю в пацієнтів із клінічними проявами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, в яких лікування не може бути відкладено або змінено через ризик загострення психозу або іншої патології 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[13, 45, 47].</w:t>
      </w: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 Деякі автори припускають можливість використання комбінованих оральних контрацептивів у жінок із вторинним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гіпогонадизмом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, зумовленим фармакологічною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[6, 13].</w:t>
      </w:r>
    </w:p>
    <w:p w:rsidR="00FA727D" w:rsidRPr="00FA727D" w:rsidRDefault="00FA727D" w:rsidP="00FA727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Лікування стрес-індукованої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гіперпролактинемії</w:t>
      </w:r>
      <w:proofErr w:type="spellEnd"/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Помірне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надпорогове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підвищення рівня пролактину (табл. 3) під впливом перманентних стресів низької та середньої інтенсивності є стрес-індукованою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Характерною ознакою цього розладу є відсутність постійного підвищення рівня пролактину в сироватці крові, також відзначаються його значні коливання протягом доби в залежності від стресових ситуацій. Основними проявами стрес-індукованої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softHyphen/>
        <w:t>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є розвиток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передменструального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синдрому, дисгормональних захворювань молочних залоз (мастопатія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мастодинією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), клінічні ознаки недостатності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лютеїнової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фази, зниження рівня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гонадотропінів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і стан відносного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естрогенного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домінування. При обстеженні таких хворих після виключення аденоми гіпофіза потрібно провести комплексне гормональне обстеження для визначення рівня пролактину, естрадіолу,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прогестерону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гонадотропінів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 Крім цього, потрібно звернути увагу на частоту та рівень стресових навантажень та їхню тривалість.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При лікуванні розладів, асоційованих зі стрес-індукованою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необхідно проводити терапію, спрямовану як на боротьбу зі стресом (модифікація способу життя, прийом заспокійливих та антидепресивних засобів, вітамінів групи В, зокрема піридоксину [вітаміну В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vertAlign w:val="subscript"/>
          <w:lang w:eastAsia="uk-UA"/>
        </w:rPr>
        <w:t>6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]), так і на корекцію безпосередньо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Для цього найбільш раціонально застосовувати рослинні лікарські засоби, що містять стандартизовані за вмістом циклічних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дитерпенів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екстракти плодів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вітекса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священного (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Vitex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agnus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castus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). Рекомендації щодо використання екстракту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lastRenderedPageBreak/>
        <w:t>Vitex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agnus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castus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ґрунтуються на результатах декількох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рандомізованих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подвійних сліпих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плацебо-контрольованих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досліджень, які продемонстрували його ефективність як щодо зниження рівня пролактину [57, 58], так і нормалізації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естроген-прогестеронової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рівноваги та відновлення ритмічної секреції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гонадотропінів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[61, 63]. Відновлення гормонального фону супроводжувалось ліквідацією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мастодинії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[58, 59, 65, 67], нормалізацією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овуляторного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менструального циклу та зниженням рівня стресової напруги [61, 63, 64].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Вітекс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священний рекомендований Комісією Е в Німеччині (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German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Commission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E)* до використання при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передменструальному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синдромі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мастодинії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асоційованими зі стрес-індукованою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</w:t>
      </w:r>
    </w:p>
    <w:p w:rsidR="00FA727D" w:rsidRPr="00FA727D" w:rsidRDefault="00FA727D" w:rsidP="00FA727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bdr w:val="none" w:sz="0" w:space="0" w:color="auto" w:frame="1"/>
          <w:lang w:eastAsia="uk-UA"/>
        </w:rPr>
        <w:t>*</w:t>
      </w:r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Наукова консультативна рада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Bundesinstitut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fur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Arzneimittel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und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Medizinprodukte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 – німецький аналог Управління з контролю за харчовими продуктами та лікарськими засобами США (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Food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and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Drug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Administration</w:t>
      </w:r>
      <w:proofErr w:type="spellEnd"/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, FDA), створена 1978 р.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Лікування пролактином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Основні цілі лікування хворих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включають [28, 36]:</w:t>
      </w:r>
    </w:p>
    <w:p w:rsidR="00FA727D" w:rsidRPr="00FA727D" w:rsidRDefault="00FA727D" w:rsidP="00FA727D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зниження секреції пролактину з нормалізацією його сироваткового рівня 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купірування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клінічних проявів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 особливим акцентом на відновлення функції статевих залоз;</w:t>
      </w:r>
    </w:p>
    <w:p w:rsidR="00FA727D" w:rsidRPr="00FA727D" w:rsidRDefault="00FA727D" w:rsidP="00FA727D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зменшення розміру пухлини з нівелюванням неврологічних симптомів;</w:t>
      </w:r>
    </w:p>
    <w:p w:rsidR="00FA727D" w:rsidRPr="00FA727D" w:rsidRDefault="00FA727D" w:rsidP="00FA727D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збереження функції гіпофіза та відновлення гормонального дефіциту;</w:t>
      </w:r>
    </w:p>
    <w:p w:rsidR="00FA727D" w:rsidRPr="00FA727D" w:rsidRDefault="00FA727D" w:rsidP="00FA727D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профілактику прогресування або рецидиву пухлини.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При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мікропролактиномах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основним маркером результативності лікування є зміна клінічних симптомів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а в разі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контроль за зменшенням розміру пухлини також стає важливим [28]. </w:t>
      </w: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Рекомендується тривале використання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для всіх пацієнтів із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макроаденомами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і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мікропролактиномами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за наявності клінічних проявів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[13, 28].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Усі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є ефективними, препарати швидко нормалізують концентрацію пролактину, відновлюють репродуктивну функцію, усувають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галакторею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зменшують розмір пухлини у більшості хворих, однак переважно використовуються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бромокриптин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[10, 28].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Кілька досліджень продемонстрували перевагу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 погляду профілю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переносимості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нормалізації концентрації пролактину, відновлення функції статевих залоз і зменшення розміру пухлини [46, 47], що, ймовірно, пояснюється більшою спорідненістю цього препарату до рецепторів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є ефективним у більшості пацієнтів, у т.ч. тих, хто не реагує на попереднє лікування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бромокриптином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[48]. У зв’язку з цим деякі автори рекомендують використовувати в першу чергу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 порівнянні з іншими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[13, 28].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За даними дослідження R.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Krysiak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B.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Okopien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(2014), призначення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є більш пріоритетним, ніж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бромокриптину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у пацієнток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softHyphen/>
        <w:t>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і супутньою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дисліпідемією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softHyphen/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кардіоваскулярними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факторами ризику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інсулінорезистентністю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 Як зазначає I.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Shimon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et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al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(2014), лікування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жінок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пролактиномою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покращує параметри метаболічного гомеостазу, такі як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інсулінорезистентність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ліпідний профіль, товщина комплексу інтима-медіа, незалежно від зниження рівня пролактину.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Деякі автори припускають, що в пацієнток із аменореєю, зумовленою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мікроаденомою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гіпофіза, які не мають репродуктивних планів, лікування може включати використання комбінованих оральних контрацептивів або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дофамінових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рецепторів [13].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Встановлено, що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 жінок у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постменопаузі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значно підвищує частоту переломів хребців у порівнянні з контрольною групою.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lastRenderedPageBreak/>
        <w:t>Оскільки концентрації пролактину відповідають змінам розміру пухлини, слід щороку оцінювати рівень пролактину і проводити МРТ гіпофіза протягом перших 3 років лікування, а потім кожні 2 роки, якщо стан пацієнта є стабільним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[10].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Необхідна тривалість терапії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все ще залишається невизначеною. У дослідженні А.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Colao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et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al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 [49] брали участь 200 пацієнтів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які отримували лікування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для досягнення нормалізації концентрації пролактину та зменшення розміру пухлини на &gt; 50 % за наявності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 Учені повідомили про подальше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рецидивування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при відміні препарату в 24 % хворих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непухлинною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у 31 % –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мікропролактиномою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у 36 % –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макропролактиномою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 Більш висока частота ремісії спостерігалася в осіб, які не мали ніяких видимих залишків пухлини за результатами МРТ головного мозку на момент відміни лікування.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Рекомендується припинення терапії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агоністами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у пацієнтів, які отримували її понад 2 роки та мають нормальну концентрацію пролактину без видимих залишків пухлини за даними МРТ головного мозку 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[13].</w:t>
      </w: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 Медичне спостереження повинно здійснюватися з моніторингом концентрацій пролактину щоквартально протягом першого року після відміни препарату, а потім щорічно з проведенням МРТ у разі підвищення концентрації цього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гормона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Незважаючи на те що відповідь на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є позитивною в більшості пацієнтів, приблизно 5-10 % хворих резистентні до одного з цих препаратів [8]. Резистентними до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пацієнтами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вважаються ті, у кого рівень пролактину не може повернутися до норми зі зменшенням розміру пухлини на 30-50 % при використанні максимально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переносимої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дози препарату [53]. Резистентність найчастіше відзначалася у хворих чоловічої статі [73] та в пацієнтів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інвазивними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аденомами в кавернозному синусі або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супраселярній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ділянці [51]. Резистентність до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– складне явище, пов’язане з декількома порушеннями: зменшенням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афінності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та кількості D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vertAlign w:val="subscript"/>
          <w:lang w:eastAsia="uk-UA"/>
        </w:rPr>
        <w:t>2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-рецепторів, зміною співвідношення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ізоформ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D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vertAlign w:val="subscript"/>
          <w:lang w:eastAsia="uk-UA"/>
        </w:rPr>
        <w:t>2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-рецепторів у вигляді зниження співвідношення D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vertAlign w:val="subscript"/>
          <w:lang w:eastAsia="uk-UA"/>
        </w:rPr>
        <w:t>2S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/D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vertAlign w:val="subscript"/>
          <w:lang w:eastAsia="uk-UA"/>
        </w:rPr>
        <w:t>2L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&lt; 1, відсутністю продукції фактора росту нервів, що забезпечує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аутокринну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регуляцію проліферації і диференціювання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лактотрофів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гіпофіза [40, 56].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Пацієнти можуть мати різні реакції на терапію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що проявляються нормалізацією концентрації пролактину без зменшення розміру пухлини або навпаки, інші ж можуть мати часткову стійкість до цих препаратів та вимагати більш високих їхніх доз, які зазвичай використовуються для досягнення клінічної відповіді [6].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У пацієнтів із клінічною симптоматикою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гіпер</w:t>
      </w: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softHyphen/>
        <w:t>пролактинемії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, в яких не знижується рівень пролактину та не зменшуються розміри пухлини гіпофіза при застосуванні стандартних доз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, рекомендується підвищити їхню дозу до максимально допустимої, перш ніж запропонувати оперативне втручання 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[13, 30].</w:t>
      </w: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 Хворих, резистентних до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бромокриптину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, слід перевести на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каберголін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, адже у 80 % осіб у такий спосіб може бути досягнута нормалізація рівня пролактину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Ехокардіографію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для виявлення аномалій клапанів серця доцільно виконувати в пацієнтів, які отримують високі початкові дози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(наприклад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каберголін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&gt; 2 мг/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тиж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) або їх стандартні дози при тривалості терапії понад 5 років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[73].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Хірургічне лікування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З огляду на високу ефективність медикаментозного лікування тільки невелика частина пацієнтів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вимагає хірургічного втручання. Показання до проведення хірургічного втручання включають [73]:</w:t>
      </w:r>
    </w:p>
    <w:p w:rsidR="00FA727D" w:rsidRPr="00FA727D" w:rsidRDefault="00FA727D" w:rsidP="00FA727D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збільшення розмірів пухлини, незважаючи на оптимальну схему лікування;</w:t>
      </w:r>
    </w:p>
    <w:p w:rsidR="00FA727D" w:rsidRPr="00FA727D" w:rsidRDefault="00FA727D" w:rsidP="00FA727D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lastRenderedPageBreak/>
        <w:t>апоплексію гіпофіза;</w:t>
      </w:r>
    </w:p>
    <w:p w:rsidR="00FA727D" w:rsidRPr="00FA727D" w:rsidRDefault="00FA727D" w:rsidP="00FA727D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непереносимість медикаментозної терапії;</w:t>
      </w:r>
    </w:p>
    <w:p w:rsidR="00FA727D" w:rsidRPr="00FA727D" w:rsidRDefault="00FA727D" w:rsidP="00FA727D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наявність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резистентних до лікування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;</w:t>
      </w:r>
    </w:p>
    <w:p w:rsidR="00FA727D" w:rsidRPr="00FA727D" w:rsidRDefault="00FA727D" w:rsidP="00FA727D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діагностування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мікроаденом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резистентних до лікування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в жінок, які планують вагітність;</w:t>
      </w:r>
    </w:p>
    <w:p w:rsidR="00FA727D" w:rsidRPr="00FA727D" w:rsidRDefault="00FA727D" w:rsidP="00FA727D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компресію зорового перехрестя, що зберігається на фоні медикаментозного лікування;</w:t>
      </w:r>
    </w:p>
    <w:p w:rsidR="00FA727D" w:rsidRPr="00FA727D" w:rsidRDefault="00FA727D" w:rsidP="00FA727D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наявність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кістозним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компонентом, резистентної до лікування;</w:t>
      </w:r>
    </w:p>
    <w:p w:rsidR="00FA727D" w:rsidRPr="00FA727D" w:rsidRDefault="00FA727D" w:rsidP="00FA727D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появу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ліквореї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на фоні прийому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;</w:t>
      </w:r>
    </w:p>
    <w:p w:rsidR="00FA727D" w:rsidRPr="00FA727D" w:rsidRDefault="00FA727D" w:rsidP="00FA727D">
      <w:pPr>
        <w:numPr>
          <w:ilvl w:val="0"/>
          <w:numId w:val="6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виявлення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макроаденоми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в пацієнтів із психічними захворюваннями за наявності протипоказань до призначення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агоністів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Проведення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трансфеноїдальної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операції рекомендується пацієнтам із непереносимістю високих доз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каберголіну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та резистентністю до інших препаратів цієї групи.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Виконання операції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трансфеноїдальним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доступом переважає над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трансчерепним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проте ефективність лікування залежить від досвіду нейрохірурга і ступеня пухлинного поширення та може становити 80-90 % для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мікроаденом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але &lt; 50 % для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макроаденом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[10].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Променеве лікування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Променеву терапію слід застосовувати в разі необхідності впливу на залишкову тканину пухлини за неможливості проведення радикальної операції, у випадках непереносимості або резистентності до лікування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агоністами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, при агресивних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пролактиномах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або карциномах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Нормальної концентрації пролактину можна досягнути у третини пацієнтів, які пройшли курс променевої терапії, але потрібен тривалий проміжок часу, щоб отримати максимальний ефект [53].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Пролактинома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і вагітність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Під час вагітності може спостерігатися збільшення розмірів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у &lt; 3 % пацієнток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мікропролактиномами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але у до 30 % жінок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макроаденомами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[13]. З іншого боку, під час вагітності відбувається фізіологічне підвищення секреції пролактину (табл. 3), тому немає ніякої кореляції між концентраціями пролактину і збільшенням розміру пухлини.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Найбільш сприятливим фоном для зачаття є повна нормалізація рівня пролактину та зменшення розмірів пухлини менше за 10 мм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Крім того, препарати, що використовуються для лікування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проникають через плацентарний бар’єр, тому повинні бути розглянуті потенційні несприятливі наслідки для плода [30].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Агоністи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не схвалюються для використання під час вагітності, тож як тільки вагітність підтверджена, рекомендується припинити лікування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[10, 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Водночас існують повідомлення про 15 випадків використання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під час вагітності (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Glezer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A.,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Bronstein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 M., 2014). Усі вагітності пройшли без порушень розвитку плода, що розширило доказову базу безпечності застосування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каберголіну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у вагітних.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Для пацієнток із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макроаденомами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, особливо якщо пухлина є 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інвазивною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або розташована дуже близько до зорової хіазми, пропонується продовжити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дофамінергічну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терапію під час вагітності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Хоча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каберголін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не є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тератогенним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й не пов’язаний зі збільшенням кількості випадків ускладнень під час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гестації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у вагітних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симптомним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збільшенням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пропонується застосовувати саме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бромокриптин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через наявність більшої кількості опублікованих досліджень щодо безпечності цього препарату [10, 30].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lastRenderedPageBreak/>
        <w:t xml:space="preserve">Не рекомендується вимірювати сироватковий рівень пролактину під час вагітності [13], в цей період проводиться динамічний клінічний моніторинг із особливим акцентом на неврологічні та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нейроофтальмологічні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симптоми, такі як головний біль або зміни полів зору. За наявності пролактином консультації ендокринолога та окуліста з проведенням комп’ютерної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периметрії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слід проводити 1 раз у кожному триместрі вагітності, а консультації ней</w:t>
      </w: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softHyphen/>
        <w:t>рохірурга – за показаннями 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[73].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Проведення МРТ гіпофіза без гадолінію рекомендується під час вагітності тільки у хворих із клінічними ознаками росту пухлини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 [10, 13].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Пацієнткам, у яких незважаючи на лікування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агоністами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дофаміну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відмічається поступове зменшення полів зору, виконується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трансфеноїдальна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хірургічна операція [55].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Трансфеноїдальну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аденомектомію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при відсутності відповіді на медикаментозне лікування та при прогресивному погіршенні зору доцільно проводити у ІІ триместрі вагітності.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Пацієнткам із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гіперпролактинемією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пухлинного походження необхідно обмежити період годування грудьми до 6-12 міс, а в деяких випадках (наприклад при швидкому збільшенні розмірів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макропролактиноми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) взагалі варто відмовитися від нього [73].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В окремих випадках після вагітності спостерігається спонтанна ремісія захворювання. Поновлення лікування такі пацієнтки не потребують, однак подальше спостереження слід проводити впродовж щонайменше 5 років.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Лікування пролактином у 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постменопаузі</w:t>
      </w:r>
      <w:proofErr w:type="spellEnd"/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Тактика лікування пролактином у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постменопаузі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не відрізняється від такої у пацієнток інших вікових груп.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У хворих із 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мікропролактиномами</w:t>
      </w:r>
      <w:proofErr w:type="spellEnd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 xml:space="preserve"> можлива відміна терапії з подальшим динамічним контролем протягом 5 років.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outlineLvl w:val="3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Інші автори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О. О. 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Колеснік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., професор, директор Національного інституту раку МОЗ України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І. І. 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Смоланка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., професор, зав. науково-дослідним відділенням пухлин грудної залози та її реконструктивної хірургії Національного інституту раку МОЗ України, головний позаштатний спеціаліст з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онкохірургії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МОЗ України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О. В. Грищенко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., професор, зав. кафедрою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перинатології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, акушерства та гінекології Харківської медичної академії післядипломної освіти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О. В. 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Булавенко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., професор, зав. кафедрою акушерства та гінекології № 2 Вінницького медичного університету ім. М. І. Пирогова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Ю. О. 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Дубоссарська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., професор, зав. кафедрою акушерства, гінекології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перинатології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ФПО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ДЗ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«Дніпропетровська медична академія МОЗ України»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З. М. </w:t>
      </w:r>
      <w:proofErr w:type="spellStart"/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Дубоссарська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., професор кафедри акушерства, гінекології та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перинатології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ФПО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ДЗ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«Дніпропетровська медична академія МОЗ України»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О. С. Чабан,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., професор, зав. відділом психіатрії та психосоматичної медицини Українського НДІ соціальної і судової психіатрії та наркології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О. В. Бурлака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., ст. наук. співробітник відділення ендокринної гінекології ДУ «Інститут педіатрії, акушерства і гінекології НАМН України»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М. О. Гук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д.мед.н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., лікар-нейрохірург відділення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транссфеноїдальної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хірургії аденоми гіпофіза ДУ 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softHyphen/>
        <w:t>«Інститут нейрохірургії ім. А. П.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Ромоданова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НАМН України»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t>В. Л. Орленко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к.мед.н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., ст. наук. співробітник ДУ «Інститут ендокринології та обміну речовин ім. В. П. 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Комісаренка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 НАМН України»</w:t>
      </w:r>
    </w:p>
    <w:p w:rsidR="00FA727D" w:rsidRPr="00FA727D" w:rsidRDefault="00FA727D" w:rsidP="00FA727D">
      <w:pPr>
        <w:shd w:val="clear" w:color="auto" w:fill="FFFFFF"/>
        <w:spacing w:after="91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uk-UA"/>
        </w:rPr>
        <w:lastRenderedPageBreak/>
        <w:t>О. О. Єфименко</w:t>
      </w:r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 xml:space="preserve">, </w:t>
      </w:r>
      <w:proofErr w:type="spellStart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к.мед.н</w:t>
      </w:r>
      <w:proofErr w:type="spellEnd"/>
      <w:r w:rsidRPr="00FA727D"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  <w:t>., ст. наук. співробітник відділення ендокринної гінекології ДУ «Інститут педіатрії, акушерства і гінекології НАМН України»</w:t>
      </w:r>
    </w:p>
    <w:p w:rsidR="00FA727D" w:rsidRPr="00FA727D" w:rsidRDefault="00FA727D" w:rsidP="00FA727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color w:val="333333"/>
          <w:sz w:val="24"/>
          <w:szCs w:val="24"/>
          <w:lang w:eastAsia="uk-UA"/>
        </w:rPr>
      </w:pPr>
      <w:r w:rsidRPr="00FA727D">
        <w:rPr>
          <w:rFonts w:asciiTheme="majorHAnsi" w:eastAsia="Times New Roman" w:hAnsiTheme="majorHAnsi" w:cs="Helvetica"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Список використаної літератури знаходиться в редакції</w:t>
      </w:r>
    </w:p>
    <w:p w:rsidR="00D1449C" w:rsidRPr="00FA727D" w:rsidRDefault="00D1449C" w:rsidP="00FA727D">
      <w:pPr>
        <w:jc w:val="both"/>
        <w:rPr>
          <w:rFonts w:asciiTheme="majorHAnsi" w:hAnsiTheme="majorHAnsi"/>
          <w:sz w:val="24"/>
          <w:szCs w:val="24"/>
        </w:rPr>
      </w:pPr>
    </w:p>
    <w:sectPr w:rsidR="00D1449C" w:rsidRPr="00FA727D" w:rsidSect="00757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D68"/>
    <w:multiLevelType w:val="multilevel"/>
    <w:tmpl w:val="A05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660B94"/>
    <w:multiLevelType w:val="multilevel"/>
    <w:tmpl w:val="DF9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8F0FD8"/>
    <w:multiLevelType w:val="multilevel"/>
    <w:tmpl w:val="1B80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18001D"/>
    <w:multiLevelType w:val="multilevel"/>
    <w:tmpl w:val="2ACA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D44863"/>
    <w:multiLevelType w:val="multilevel"/>
    <w:tmpl w:val="804C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6C1F1F"/>
    <w:multiLevelType w:val="multilevel"/>
    <w:tmpl w:val="619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727D"/>
    <w:rsid w:val="00255E21"/>
    <w:rsid w:val="00305303"/>
    <w:rsid w:val="0042459A"/>
    <w:rsid w:val="00500A88"/>
    <w:rsid w:val="0052375A"/>
    <w:rsid w:val="005B610F"/>
    <w:rsid w:val="00757A9E"/>
    <w:rsid w:val="008611AA"/>
    <w:rsid w:val="00865EB1"/>
    <w:rsid w:val="009A5A36"/>
    <w:rsid w:val="009D479C"/>
    <w:rsid w:val="00CA4B4C"/>
    <w:rsid w:val="00D1449C"/>
    <w:rsid w:val="00D6446C"/>
    <w:rsid w:val="00E84DE3"/>
    <w:rsid w:val="00EA456C"/>
    <w:rsid w:val="00EA7760"/>
    <w:rsid w:val="00F96116"/>
    <w:rsid w:val="00FA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635">
          <w:marLeft w:val="0"/>
          <w:marRight w:val="0"/>
          <w:marTop w:val="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2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078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8005">
          <w:marLeft w:val="0"/>
          <w:marRight w:val="0"/>
          <w:marTop w:val="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36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zg.com.ua/ru-issue-article-1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zg.com.ua/ru-issue-article-10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zg.com.ua/ru-issue-article-10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zg.com.ua/ru-issue-article-1030" TargetMode="External"/><Relationship Id="rId10" Type="http://schemas.openxmlformats.org/officeDocument/2006/relationships/hyperlink" Target="http://mazg.com.ua/ru-issue-article-1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zg.com.ua/ru-issue-article-1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27993</Words>
  <Characters>15957</Characters>
  <Application>Microsoft Office Word</Application>
  <DocSecurity>0</DocSecurity>
  <Lines>132</Lines>
  <Paragraphs>87</Paragraphs>
  <ScaleCrop>false</ScaleCrop>
  <Company>Krokoz™</Company>
  <LinksUpToDate>false</LinksUpToDate>
  <CharactersWithSpaces>43863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Yakovlevna Zhigar</dc:creator>
  <cp:lastModifiedBy>Anastasiya Yakovlevna Zhigar</cp:lastModifiedBy>
  <cp:revision>4</cp:revision>
  <dcterms:created xsi:type="dcterms:W3CDTF">2017-05-03T06:21:00Z</dcterms:created>
  <dcterms:modified xsi:type="dcterms:W3CDTF">2017-05-03T06:36:00Z</dcterms:modified>
</cp:coreProperties>
</file>